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ookman Old Style" w:hAnsi="Bookman Old Style"/>
          <w:color w:val="AEAAAA" w:themeColor="background2" w:themeShade="BF"/>
          <w:sz w:val="24"/>
          <w:szCs w:val="24"/>
        </w:rPr>
        <w:id w:val="322712465"/>
        <w:docPartObj>
          <w:docPartGallery w:val="Cover Pages"/>
          <w:docPartUnique/>
        </w:docPartObj>
      </w:sdtPr>
      <w:sdtEndPr>
        <w:rPr>
          <w:rFonts w:eastAsia="Times New Roman" w:cstheme="majorHAnsi"/>
          <w:lang w:eastAsia="en-GB"/>
        </w:rPr>
      </w:sdtEndPr>
      <w:sdtContent>
        <w:p w14:paraId="40B6F670" w14:textId="77777777" w:rsidR="00810933" w:rsidRPr="00734046" w:rsidRDefault="00810933" w:rsidP="00810933">
          <w:pPr>
            <w:spacing w:after="0"/>
            <w:jc w:val="center"/>
            <w:rPr>
              <w:rFonts w:ascii="Bookman Old Style" w:hAnsi="Bookman Old Style"/>
              <w:color w:val="AEAAAA" w:themeColor="background2" w:themeShade="BF"/>
              <w:sz w:val="24"/>
              <w:szCs w:val="24"/>
            </w:rPr>
          </w:pPr>
          <w:r w:rsidRPr="00734046">
            <w:rPr>
              <w:rFonts w:ascii="Bookman Old Style" w:hAnsi="Bookman Old Style"/>
              <w:b/>
              <w:noProof/>
              <w:color w:val="AEAAAA" w:themeColor="background2" w:themeShade="BF"/>
              <w:sz w:val="24"/>
              <w:szCs w:val="24"/>
              <w:lang w:val="en-GB" w:eastAsia="en-GB"/>
            </w:rPr>
            <w:drawing>
              <wp:inline distT="0" distB="0" distL="0" distR="0" wp14:anchorId="5D0FF47D" wp14:editId="482354AC">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14:paraId="4618F523" w14:textId="77777777" w:rsidR="00810933" w:rsidRPr="00734046" w:rsidRDefault="00810933" w:rsidP="00810933">
          <w:pPr>
            <w:jc w:val="center"/>
            <w:rPr>
              <w:rFonts w:ascii="Bookman Old Style" w:hAnsi="Bookman Old Style"/>
              <w:b/>
              <w:color w:val="AEAAAA" w:themeColor="background2" w:themeShade="BF"/>
              <w:sz w:val="24"/>
              <w:szCs w:val="24"/>
              <w:lang w:val="en-GB"/>
            </w:rPr>
          </w:pPr>
          <w:r w:rsidRPr="00734046">
            <w:rPr>
              <w:rFonts w:ascii="Bookman Old Style" w:hAnsi="Bookman Old Style"/>
              <w:b/>
              <w:i/>
              <w:noProof/>
              <w:color w:val="AEAAAA" w:themeColor="background2" w:themeShade="BF"/>
              <w:sz w:val="24"/>
              <w:szCs w:val="24"/>
              <w:lang w:val="en-GB"/>
            </w:rPr>
            <w:t>Communications for all in East Africa</w:t>
          </w:r>
        </w:p>
        <w:p w14:paraId="4681205F" w14:textId="75D46145" w:rsidR="00810933" w:rsidRPr="00734046" w:rsidRDefault="000A397C" w:rsidP="00810933">
          <w:pPr>
            <w:jc w:val="center"/>
            <w:rPr>
              <w:rFonts w:ascii="Bookman Old Style" w:eastAsia="Times New Roman" w:hAnsi="Bookman Old Style" w:cstheme="majorHAnsi"/>
              <w:b/>
              <w:color w:val="AEAAAA" w:themeColor="background2" w:themeShade="BF"/>
              <w:sz w:val="24"/>
              <w:szCs w:val="24"/>
              <w:lang w:eastAsia="en-GB"/>
            </w:rPr>
          </w:pPr>
          <w:r>
            <w:rPr>
              <w:rFonts w:ascii="Bookman Old Style" w:eastAsia="Times New Roman" w:hAnsi="Bookman Old Style" w:cstheme="majorHAnsi"/>
              <w:b/>
              <w:color w:val="AEAAAA" w:themeColor="background2" w:themeShade="BF"/>
              <w:sz w:val="24"/>
              <w:szCs w:val="24"/>
              <w:lang w:eastAsia="en-GB"/>
            </w:rPr>
            <w:t>3rd</w:t>
          </w:r>
          <w:r w:rsidR="00810933" w:rsidRPr="00734046">
            <w:rPr>
              <w:rFonts w:ascii="Bookman Old Style" w:eastAsia="Times New Roman" w:hAnsi="Bookman Old Style" w:cstheme="majorHAnsi"/>
              <w:b/>
              <w:color w:val="AEAAAA" w:themeColor="background2" w:themeShade="BF"/>
              <w:sz w:val="24"/>
              <w:szCs w:val="24"/>
              <w:lang w:eastAsia="en-GB"/>
            </w:rPr>
            <w:t xml:space="preserve"> EACO </w:t>
          </w:r>
          <w:r w:rsidR="00F4638F" w:rsidRPr="00734046">
            <w:rPr>
              <w:rFonts w:ascii="Bookman Old Style" w:eastAsia="Times New Roman" w:hAnsi="Bookman Old Style" w:cstheme="majorHAnsi"/>
              <w:b/>
              <w:color w:val="AEAAAA" w:themeColor="background2" w:themeShade="BF"/>
              <w:sz w:val="24"/>
              <w:szCs w:val="24"/>
              <w:lang w:eastAsia="en-GB"/>
            </w:rPr>
            <w:t>WRC</w:t>
          </w:r>
          <w:r w:rsidR="00810933" w:rsidRPr="00734046">
            <w:rPr>
              <w:rFonts w:ascii="Bookman Old Style" w:eastAsia="Times New Roman" w:hAnsi="Bookman Old Style" w:cstheme="majorHAnsi"/>
              <w:b/>
              <w:color w:val="AEAAAA" w:themeColor="background2" w:themeShade="BF"/>
              <w:sz w:val="24"/>
              <w:szCs w:val="24"/>
              <w:lang w:eastAsia="en-GB"/>
            </w:rPr>
            <w:t xml:space="preserve">-23 preparatory meeting </w:t>
          </w:r>
          <w:r w:rsidR="00FC5E7A" w:rsidRPr="00734046">
            <w:rPr>
              <w:rFonts w:ascii="Bookman Old Style" w:eastAsia="Times New Roman" w:hAnsi="Bookman Old Style" w:cstheme="majorHAnsi"/>
              <w:b/>
              <w:color w:val="AEAAAA" w:themeColor="background2" w:themeShade="BF"/>
              <w:sz w:val="24"/>
              <w:szCs w:val="24"/>
              <w:lang w:eastAsia="en-GB"/>
            </w:rPr>
            <w:t>(</w:t>
          </w:r>
          <w:r w:rsidR="00FC5E7A">
            <w:rPr>
              <w:rFonts w:ascii="Bookman Old Style" w:eastAsia="Times New Roman" w:hAnsi="Bookman Old Style" w:cstheme="majorHAnsi"/>
              <w:b/>
              <w:color w:val="AEAAAA" w:themeColor="background2" w:themeShade="BF"/>
              <w:sz w:val="24"/>
              <w:szCs w:val="24"/>
              <w:lang w:eastAsia="en-GB"/>
            </w:rPr>
            <w:t>17</w:t>
          </w:r>
          <w:r w:rsidR="00FC5E7A" w:rsidRPr="006E7B7F">
            <w:rPr>
              <w:rFonts w:ascii="Bookman Old Style" w:eastAsia="Times New Roman" w:hAnsi="Bookman Old Style" w:cstheme="majorHAnsi"/>
              <w:b/>
              <w:color w:val="AEAAAA" w:themeColor="background2" w:themeShade="BF"/>
              <w:sz w:val="24"/>
              <w:szCs w:val="24"/>
              <w:vertAlign w:val="superscript"/>
              <w:lang w:eastAsia="en-GB"/>
            </w:rPr>
            <w:t>th</w:t>
          </w:r>
          <w:r w:rsidR="00FC5E7A">
            <w:rPr>
              <w:rFonts w:ascii="Bookman Old Style" w:eastAsia="Times New Roman" w:hAnsi="Bookman Old Style" w:cstheme="majorHAnsi"/>
              <w:b/>
              <w:color w:val="AEAAAA" w:themeColor="background2" w:themeShade="BF"/>
              <w:sz w:val="24"/>
              <w:szCs w:val="24"/>
              <w:lang w:eastAsia="en-GB"/>
            </w:rPr>
            <w:t>-19</w:t>
          </w:r>
          <w:r w:rsidR="00FC5E7A" w:rsidRPr="006E7B7F">
            <w:rPr>
              <w:rFonts w:ascii="Bookman Old Style" w:eastAsia="Times New Roman" w:hAnsi="Bookman Old Style" w:cstheme="majorHAnsi"/>
              <w:b/>
              <w:color w:val="AEAAAA" w:themeColor="background2" w:themeShade="BF"/>
              <w:sz w:val="24"/>
              <w:szCs w:val="24"/>
              <w:vertAlign w:val="superscript"/>
              <w:lang w:eastAsia="en-GB"/>
            </w:rPr>
            <w:t>th</w:t>
          </w:r>
          <w:r w:rsidR="00FC5E7A" w:rsidRPr="00734046">
            <w:rPr>
              <w:rFonts w:ascii="Bookman Old Style" w:eastAsia="Times New Roman" w:hAnsi="Bookman Old Style" w:cstheme="majorHAnsi"/>
              <w:b/>
              <w:color w:val="AEAAAA" w:themeColor="background2" w:themeShade="BF"/>
              <w:sz w:val="24"/>
              <w:szCs w:val="24"/>
              <w:lang w:eastAsia="en-GB"/>
            </w:rPr>
            <w:t>/</w:t>
          </w:r>
          <w:r w:rsidR="00FC5E7A">
            <w:rPr>
              <w:rFonts w:ascii="Bookman Old Style" w:eastAsia="Times New Roman" w:hAnsi="Bookman Old Style" w:cstheme="majorHAnsi"/>
              <w:b/>
              <w:color w:val="AEAAAA" w:themeColor="background2" w:themeShade="BF"/>
              <w:sz w:val="24"/>
              <w:szCs w:val="24"/>
              <w:lang w:eastAsia="en-GB"/>
            </w:rPr>
            <w:t>08</w:t>
          </w:r>
          <w:r w:rsidR="00FC5E7A" w:rsidRPr="00734046">
            <w:rPr>
              <w:rFonts w:ascii="Bookman Old Style" w:eastAsia="Times New Roman" w:hAnsi="Bookman Old Style" w:cstheme="majorHAnsi"/>
              <w:b/>
              <w:color w:val="AEAAAA" w:themeColor="background2" w:themeShade="BF"/>
              <w:sz w:val="24"/>
              <w:szCs w:val="24"/>
              <w:lang w:eastAsia="en-GB"/>
            </w:rPr>
            <w:t>/2021)</w:t>
          </w:r>
        </w:p>
        <w:p w14:paraId="62C3C27D" w14:textId="1101B7CC" w:rsidR="00810933" w:rsidRPr="00734046" w:rsidRDefault="00810933" w:rsidP="00810933">
          <w:pPr>
            <w:jc w:val="center"/>
            <w:rPr>
              <w:rFonts w:ascii="Bookman Old Style" w:eastAsia="Times New Roman" w:hAnsi="Bookman Old Style" w:cstheme="majorHAnsi"/>
              <w:color w:val="AEAAAA" w:themeColor="background2" w:themeShade="BF"/>
              <w:sz w:val="24"/>
              <w:szCs w:val="24"/>
              <w:lang w:eastAsia="en-GB"/>
            </w:rPr>
          </w:pPr>
          <w:r w:rsidRPr="00734046">
            <w:rPr>
              <w:rFonts w:ascii="Bookman Old Style" w:eastAsia="Times New Roman" w:hAnsi="Bookman Old Style" w:cstheme="majorHAnsi"/>
              <w:color w:val="AEAAAA" w:themeColor="background2" w:themeShade="BF"/>
              <w:sz w:val="24"/>
              <w:szCs w:val="24"/>
              <w:lang w:eastAsia="en-GB"/>
            </w:rPr>
            <w:t>CHAPTER 3 (Science issues</w:t>
          </w:r>
          <w:r w:rsidR="00FC5E7A">
            <w:rPr>
              <w:rFonts w:ascii="Bookman Old Style" w:eastAsia="Times New Roman" w:hAnsi="Bookman Old Style" w:cstheme="majorHAnsi"/>
              <w:color w:val="AEAAAA" w:themeColor="background2" w:themeShade="BF"/>
              <w:sz w:val="24"/>
              <w:szCs w:val="24"/>
              <w:lang w:eastAsia="en-GB"/>
            </w:rPr>
            <w:t>)</w:t>
          </w:r>
        </w:p>
      </w:sdtContent>
    </w:sdt>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E152D3" w:rsidRPr="00734046" w14:paraId="76D42DD3" w14:textId="77777777" w:rsidTr="008E73C9">
        <w:tc>
          <w:tcPr>
            <w:tcW w:w="10265" w:type="dxa"/>
          </w:tcPr>
          <w:p w14:paraId="0B09176B" w14:textId="6FA48488" w:rsidR="00810933" w:rsidRPr="00734046" w:rsidRDefault="00810933" w:rsidP="008E73C9">
            <w:pPr>
              <w:jc w:val="center"/>
              <w:rPr>
                <w:rFonts w:ascii="Bookman Old Style" w:eastAsia="Times New Roman" w:hAnsi="Bookman Old Style" w:cstheme="majorHAnsi"/>
                <w:b/>
                <w:color w:val="AEAAAA" w:themeColor="background2" w:themeShade="BF"/>
                <w:sz w:val="24"/>
                <w:szCs w:val="24"/>
                <w:lang w:eastAsia="en-GB"/>
              </w:rPr>
            </w:pPr>
            <w:r w:rsidRPr="00734046">
              <w:rPr>
                <w:rFonts w:ascii="Bookman Old Style" w:eastAsia="Times New Roman" w:hAnsi="Bookman Old Style" w:cstheme="majorHAnsi"/>
                <w:b/>
                <w:color w:val="AEAAAA" w:themeColor="background2" w:themeShade="BF"/>
                <w:sz w:val="24"/>
                <w:szCs w:val="24"/>
                <w:lang w:eastAsia="en-GB"/>
              </w:rPr>
              <w:t xml:space="preserve">Input Document </w:t>
            </w:r>
          </w:p>
        </w:tc>
      </w:tr>
    </w:tbl>
    <w:p w14:paraId="1F066063" w14:textId="77777777" w:rsidR="003073C9" w:rsidRPr="00A9586B" w:rsidRDefault="003073C9" w:rsidP="003073C9">
      <w:pPr>
        <w:jc w:val="center"/>
        <w:rPr>
          <w:rFonts w:cs="Calibri"/>
          <w:b/>
          <w:spacing w:val="60"/>
          <w:sz w:val="24"/>
          <w:szCs w:val="24"/>
        </w:rPr>
      </w:pPr>
      <w:r w:rsidRPr="00A9586B">
        <w:rPr>
          <w:rFonts w:cs="Calibri"/>
          <w:b/>
          <w:spacing w:val="60"/>
          <w:sz w:val="24"/>
          <w:szCs w:val="24"/>
        </w:rPr>
        <w:t>Agenda Item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7918"/>
      </w:tblGrid>
      <w:tr w:rsidR="003073C9" w:rsidRPr="00A9586B" w14:paraId="3D7AED06" w14:textId="77777777" w:rsidTr="002C11EA">
        <w:tc>
          <w:tcPr>
            <w:tcW w:w="9576" w:type="dxa"/>
            <w:gridSpan w:val="2"/>
          </w:tcPr>
          <w:p w14:paraId="52AC77C0" w14:textId="77777777" w:rsidR="003073C9" w:rsidRPr="00A9586B" w:rsidRDefault="003073C9" w:rsidP="002C11EA">
            <w:pPr>
              <w:spacing w:after="0"/>
              <w:rPr>
                <w:rFonts w:cs="Calibri"/>
                <w:b/>
                <w:i/>
                <w:color w:val="00B050"/>
                <w:spacing w:val="60"/>
                <w:sz w:val="24"/>
                <w:szCs w:val="24"/>
              </w:rPr>
            </w:pPr>
            <w:r w:rsidRPr="00A9586B">
              <w:rPr>
                <w:rFonts w:cs="Calibri"/>
                <w:b/>
                <w:i/>
                <w:color w:val="00B050"/>
                <w:spacing w:val="60"/>
                <w:sz w:val="24"/>
                <w:szCs w:val="24"/>
              </w:rPr>
              <w:t>Part A: Description</w:t>
            </w:r>
          </w:p>
        </w:tc>
      </w:tr>
      <w:tr w:rsidR="003073C9" w:rsidRPr="00A9586B" w14:paraId="7C8581DB" w14:textId="77777777" w:rsidTr="002C11EA">
        <w:trPr>
          <w:trHeight w:val="647"/>
        </w:trPr>
        <w:tc>
          <w:tcPr>
            <w:tcW w:w="9576" w:type="dxa"/>
            <w:gridSpan w:val="2"/>
          </w:tcPr>
          <w:p w14:paraId="2FE3C4B7" w14:textId="77777777" w:rsidR="003073C9" w:rsidRPr="00A9586B" w:rsidRDefault="003073C9" w:rsidP="002C11EA">
            <w:pPr>
              <w:spacing w:after="0"/>
              <w:jc w:val="both"/>
              <w:rPr>
                <w:rFonts w:cs="Calibri"/>
                <w:sz w:val="24"/>
                <w:szCs w:val="24"/>
              </w:rPr>
            </w:pPr>
            <w:r w:rsidRPr="00A9586B">
              <w:rPr>
                <w:rFonts w:cs="Calibri"/>
                <w:color w:val="000000"/>
                <w:sz w:val="24"/>
                <w:szCs w:val="24"/>
              </w:rPr>
              <w:t xml:space="preserve">to review and consider possible adjustments of the existing or possible new primary frequency allocations to EESS (passive) in the frequency range 231.5-252 GHz, to ensure alignment with more up-to-date remote-sensing observation requirements, in accordance with </w:t>
            </w:r>
            <w:r w:rsidRPr="00A9586B">
              <w:rPr>
                <w:rFonts w:cs="Calibri"/>
                <w:b/>
                <w:color w:val="000000"/>
                <w:sz w:val="24"/>
                <w:szCs w:val="24"/>
              </w:rPr>
              <w:t>Resolution 662 (WRC-19).</w:t>
            </w:r>
          </w:p>
          <w:p w14:paraId="4FFE6989" w14:textId="77777777" w:rsidR="003073C9" w:rsidRPr="00A9586B" w:rsidRDefault="003073C9" w:rsidP="002C11EA">
            <w:pPr>
              <w:spacing w:after="0"/>
              <w:jc w:val="both"/>
              <w:rPr>
                <w:rFonts w:cs="Calibri"/>
                <w:sz w:val="24"/>
                <w:szCs w:val="24"/>
              </w:rPr>
            </w:pPr>
          </w:p>
          <w:p w14:paraId="6E238A6D" w14:textId="77777777" w:rsidR="003073C9" w:rsidRPr="00A9586B" w:rsidRDefault="003073C9" w:rsidP="002C11EA">
            <w:pPr>
              <w:spacing w:after="0"/>
              <w:jc w:val="both"/>
              <w:rPr>
                <w:rFonts w:cs="Calibri"/>
                <w:sz w:val="24"/>
                <w:szCs w:val="24"/>
              </w:rPr>
            </w:pPr>
            <w:r w:rsidRPr="00A9586B">
              <w:rPr>
                <w:rFonts w:cs="Calibri"/>
                <w:b/>
                <w:color w:val="000000"/>
                <w:sz w:val="24"/>
                <w:szCs w:val="24"/>
              </w:rPr>
              <w:t xml:space="preserve">Resolution 662 </w:t>
            </w:r>
            <w:r w:rsidRPr="00A9586B">
              <w:rPr>
                <w:rFonts w:cs="Calibri"/>
                <w:b/>
                <w:sz w:val="24"/>
                <w:szCs w:val="24"/>
              </w:rPr>
              <w:t xml:space="preserve">(WRC-19): </w:t>
            </w:r>
            <w:r w:rsidRPr="00A9586B">
              <w:rPr>
                <w:rFonts w:cs="Calibri"/>
                <w:sz w:val="24"/>
                <w:szCs w:val="24"/>
              </w:rPr>
              <w:t xml:space="preserve">The World Radiocommunication Conference (Sharm el-Sheikh, 2019) resolved to invite the ITU Radiocommunication Sector to review the existing primary allocations to the EESS (passive) in the frequency range 231.5-252 GHz in order to </w:t>
            </w:r>
            <w:proofErr w:type="spellStart"/>
            <w:r w:rsidRPr="00A9586B">
              <w:rPr>
                <w:rFonts w:cs="Calibri"/>
                <w:sz w:val="24"/>
                <w:szCs w:val="24"/>
              </w:rPr>
              <w:t>analyse</w:t>
            </w:r>
            <w:proofErr w:type="spellEnd"/>
            <w:r w:rsidRPr="00A9586B">
              <w:rPr>
                <w:rFonts w:cs="Calibri"/>
                <w:sz w:val="24"/>
                <w:szCs w:val="24"/>
              </w:rPr>
              <w:t xml:space="preserve"> if these allocations are aligned with the observation requirements of passive microwave sensors.</w:t>
            </w:r>
          </w:p>
          <w:p w14:paraId="648279BF" w14:textId="77777777" w:rsidR="003073C9" w:rsidRPr="00A9586B" w:rsidRDefault="003073C9" w:rsidP="002C11EA">
            <w:pPr>
              <w:spacing w:after="0"/>
              <w:jc w:val="both"/>
              <w:rPr>
                <w:rFonts w:cs="Calibri"/>
                <w:b/>
                <w:i/>
                <w:sz w:val="24"/>
                <w:szCs w:val="24"/>
              </w:rPr>
            </w:pPr>
          </w:p>
        </w:tc>
      </w:tr>
      <w:tr w:rsidR="003073C9" w:rsidRPr="00A9586B" w14:paraId="584F49C4" w14:textId="77777777" w:rsidTr="002C11EA">
        <w:tc>
          <w:tcPr>
            <w:tcW w:w="9576" w:type="dxa"/>
            <w:gridSpan w:val="2"/>
          </w:tcPr>
          <w:p w14:paraId="28D396DC" w14:textId="77777777" w:rsidR="003073C9" w:rsidRPr="00A9586B" w:rsidRDefault="003073C9" w:rsidP="002C11EA">
            <w:pPr>
              <w:spacing w:after="0"/>
              <w:rPr>
                <w:rFonts w:cs="Calibri"/>
                <w:b/>
                <w:i/>
                <w:color w:val="00B050"/>
                <w:spacing w:val="60"/>
                <w:sz w:val="24"/>
                <w:szCs w:val="24"/>
              </w:rPr>
            </w:pPr>
            <w:r w:rsidRPr="00A9586B">
              <w:rPr>
                <w:rFonts w:cs="Calibri"/>
                <w:b/>
                <w:i/>
                <w:color w:val="00B050"/>
                <w:spacing w:val="60"/>
                <w:sz w:val="24"/>
                <w:szCs w:val="24"/>
              </w:rPr>
              <w:t>Part B: Key Elements – the notables</w:t>
            </w:r>
          </w:p>
        </w:tc>
      </w:tr>
      <w:tr w:rsidR="003073C9" w:rsidRPr="00A9586B" w14:paraId="653781E8" w14:textId="77777777" w:rsidTr="002C11EA">
        <w:trPr>
          <w:trHeight w:val="638"/>
        </w:trPr>
        <w:tc>
          <w:tcPr>
            <w:tcW w:w="9576" w:type="dxa"/>
            <w:gridSpan w:val="2"/>
          </w:tcPr>
          <w:p w14:paraId="74CDC7DB" w14:textId="77777777" w:rsidR="003073C9" w:rsidRPr="00A9586B" w:rsidRDefault="003073C9" w:rsidP="002C11EA">
            <w:pPr>
              <w:jc w:val="both"/>
              <w:rPr>
                <w:rFonts w:cs="Calibri"/>
                <w:sz w:val="24"/>
                <w:szCs w:val="24"/>
              </w:rPr>
            </w:pPr>
            <w:r w:rsidRPr="00A9586B">
              <w:rPr>
                <w:rFonts w:cs="Calibri"/>
                <w:sz w:val="24"/>
                <w:szCs w:val="24"/>
              </w:rPr>
              <w:t>Passive microwave remote sensing instruments has the ability to measure ice clouds, based on the microwave frequencies being employed. The currently deployed microwave sensors typically operate in frequencies less than 200 GHz and are sensitive only to thick ice because the interaction of millimeter-wave radiation with cloud particles is not very strong. This interaction improves with increasing frequency and at intermediate frequencies in the frequency band 231.5 – 252 GHz the sensitivity to ice clouds is significantly more than in lower frequencies. The measurement of ice particles is used to measure the hydrometeor properties of cirrus clouds, higher altitude convective and anvil clouds. Ice clouds have important effects on the Earth’s climate and hydrological cycle by affecting precipitation, atmospheric structure and cloud processes. The main objective in measuring ice clouds is to improve the current Numerical Weather Prediction (NWP) Models.</w:t>
            </w:r>
          </w:p>
          <w:p w14:paraId="15790CBB" w14:textId="77777777" w:rsidR="003073C9" w:rsidRPr="00A9586B" w:rsidRDefault="003073C9" w:rsidP="002C11EA">
            <w:pPr>
              <w:jc w:val="both"/>
              <w:rPr>
                <w:rFonts w:cs="Calibri"/>
                <w:sz w:val="24"/>
                <w:szCs w:val="24"/>
              </w:rPr>
            </w:pPr>
            <w:r w:rsidRPr="00A9586B">
              <w:rPr>
                <w:rFonts w:cs="Calibri"/>
                <w:sz w:val="24"/>
                <w:szCs w:val="24"/>
              </w:rPr>
              <w:t>Furthermore, various portions of this frequency range play an important role in the measurement of chemical processes and compounds within Earth’s atmosphere such as Nitric acid (HNO3) which is a primary reservoir for reactive nitrogen, serving as a key component to upper tropospheric processes that maintain ozone abundances and clouds.</w:t>
            </w:r>
          </w:p>
          <w:p w14:paraId="5FEA1243" w14:textId="77777777" w:rsidR="003073C9" w:rsidRPr="00A9586B" w:rsidRDefault="003073C9" w:rsidP="002C11EA">
            <w:pPr>
              <w:jc w:val="both"/>
              <w:rPr>
                <w:rFonts w:cs="Calibri"/>
                <w:sz w:val="24"/>
                <w:szCs w:val="24"/>
              </w:rPr>
            </w:pPr>
            <w:r w:rsidRPr="00A9586B">
              <w:rPr>
                <w:rFonts w:cs="Calibri"/>
                <w:sz w:val="24"/>
                <w:szCs w:val="24"/>
              </w:rPr>
              <w:lastRenderedPageBreak/>
              <w:t>The allocation to the Earth exploration-satellite service (EESS) (passive) for the use of passive microwave remote sensing system were agreed at WRC-2000, under agenda item 1.16 relating to Resolution 723 (WRC-97). The development in science and technology for passive microwave sensor measurements have evolved over the last 20 years and it is appropriate to ensure that frequency allocations to the EESS (passive) agreed in 2000 correspond to up-to-date for the observation requirements for passive microwave sensing.</w:t>
            </w:r>
          </w:p>
          <w:p w14:paraId="31CB7440" w14:textId="77777777" w:rsidR="003073C9" w:rsidRPr="00A9586B" w:rsidRDefault="003073C9" w:rsidP="002C11EA">
            <w:pPr>
              <w:jc w:val="both"/>
              <w:rPr>
                <w:rFonts w:cs="Calibri"/>
                <w:sz w:val="24"/>
                <w:szCs w:val="24"/>
              </w:rPr>
            </w:pPr>
            <w:r w:rsidRPr="00A9586B">
              <w:rPr>
                <w:rFonts w:cs="Calibri"/>
                <w:sz w:val="24"/>
                <w:szCs w:val="24"/>
              </w:rPr>
              <w:t xml:space="preserve">However, a number of services are allocated in the band 231.5 – 252 GHz, any change to the EESS (passive) allocation to ensure the alignment with more up-to-date remote-sensing observational requirements should take into account the results of ITU-R studies while also ensuring that no undue constraints should be imposed on existing service services. </w:t>
            </w:r>
          </w:p>
        </w:tc>
      </w:tr>
      <w:tr w:rsidR="003073C9" w:rsidRPr="00A9586B" w14:paraId="4049B2EC" w14:textId="77777777" w:rsidTr="002C11EA">
        <w:tc>
          <w:tcPr>
            <w:tcW w:w="9576" w:type="dxa"/>
            <w:gridSpan w:val="2"/>
          </w:tcPr>
          <w:p w14:paraId="1D7F8623" w14:textId="77777777" w:rsidR="003073C9" w:rsidRPr="00A9586B" w:rsidRDefault="003073C9" w:rsidP="002C11EA">
            <w:pPr>
              <w:spacing w:after="0"/>
              <w:rPr>
                <w:rFonts w:cs="Calibri"/>
                <w:b/>
                <w:i/>
                <w:color w:val="00B050"/>
                <w:spacing w:val="60"/>
                <w:sz w:val="24"/>
                <w:szCs w:val="24"/>
              </w:rPr>
            </w:pPr>
            <w:r w:rsidRPr="00A9586B">
              <w:rPr>
                <w:rFonts w:cs="Calibri"/>
                <w:b/>
                <w:i/>
                <w:color w:val="00B050"/>
                <w:spacing w:val="60"/>
                <w:sz w:val="24"/>
                <w:szCs w:val="24"/>
              </w:rPr>
              <w:lastRenderedPageBreak/>
              <w:t>Part C: Current Status of Band</w:t>
            </w:r>
          </w:p>
        </w:tc>
      </w:tr>
      <w:tr w:rsidR="003073C9" w:rsidRPr="00A9586B" w14:paraId="2D2B7193" w14:textId="77777777" w:rsidTr="002C11EA">
        <w:trPr>
          <w:trHeight w:val="1048"/>
        </w:trPr>
        <w:tc>
          <w:tcPr>
            <w:tcW w:w="9576" w:type="dxa"/>
            <w:gridSpan w:val="2"/>
          </w:tcPr>
          <w:p w14:paraId="6661E924" w14:textId="77777777" w:rsidR="003073C9" w:rsidRPr="00A9586B" w:rsidRDefault="003073C9" w:rsidP="002C11EA">
            <w:pPr>
              <w:spacing w:after="0"/>
              <w:rPr>
                <w:rFonts w:cs="Calibri"/>
                <w:sz w:val="24"/>
                <w:szCs w:val="24"/>
              </w:rPr>
            </w:pPr>
          </w:p>
          <w:p w14:paraId="5539E903" w14:textId="77777777" w:rsidR="003073C9" w:rsidRPr="00A9586B" w:rsidRDefault="003073C9" w:rsidP="002C11EA">
            <w:pPr>
              <w:spacing w:after="0"/>
              <w:rPr>
                <w:rFonts w:cs="Calibri"/>
                <w:b/>
                <w:sz w:val="24"/>
                <w:szCs w:val="24"/>
              </w:rPr>
            </w:pPr>
            <w:r w:rsidRPr="00A9586B">
              <w:rPr>
                <w:rFonts w:cs="Calibri"/>
                <w:b/>
                <w:sz w:val="24"/>
                <w:szCs w:val="24"/>
              </w:rPr>
              <w:t>ITU-R Table of Frequency Allocation</w:t>
            </w:r>
          </w:p>
          <w:p w14:paraId="29ACF740" w14:textId="68AF09AE" w:rsidR="003073C9" w:rsidRPr="00A9586B" w:rsidRDefault="003073C9" w:rsidP="002C11EA">
            <w:pPr>
              <w:spacing w:after="0"/>
              <w:jc w:val="center"/>
              <w:rPr>
                <w:rFonts w:cs="Calibri"/>
                <w:sz w:val="24"/>
                <w:szCs w:val="24"/>
              </w:rPr>
            </w:pPr>
            <w:r w:rsidRPr="00A9586B">
              <w:rPr>
                <w:rFonts w:cs="Calibri"/>
                <w:noProof/>
                <w:sz w:val="24"/>
                <w:szCs w:val="24"/>
              </w:rPr>
              <w:drawing>
                <wp:inline distT="0" distB="0" distL="0" distR="0" wp14:anchorId="3D451A15" wp14:editId="25452527">
                  <wp:extent cx="59436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6B961FF3" w14:textId="77777777" w:rsidR="003073C9" w:rsidRPr="00A9586B" w:rsidRDefault="003073C9" w:rsidP="002C11EA">
            <w:pPr>
              <w:spacing w:after="0"/>
              <w:jc w:val="center"/>
              <w:rPr>
                <w:rFonts w:cs="Calibri"/>
                <w:sz w:val="24"/>
                <w:szCs w:val="24"/>
              </w:rPr>
            </w:pPr>
            <w:r w:rsidRPr="00A9586B">
              <w:rPr>
                <w:rFonts w:cs="Calibri"/>
                <w:sz w:val="24"/>
                <w:szCs w:val="24"/>
              </w:rPr>
              <w:t>Figure 1: The current and proposed allocations in the band 231.5 – 252 GHz.</w:t>
            </w:r>
          </w:p>
          <w:p w14:paraId="795494FA" w14:textId="77777777" w:rsidR="003073C9" w:rsidRPr="00A9586B" w:rsidRDefault="003073C9" w:rsidP="002C11EA">
            <w:pPr>
              <w:spacing w:after="0"/>
              <w:jc w:val="center"/>
              <w:rPr>
                <w:rFonts w:cs="Calibri"/>
                <w:sz w:val="24"/>
                <w:szCs w:val="24"/>
              </w:rPr>
            </w:pPr>
          </w:p>
          <w:p w14:paraId="3CE423A5" w14:textId="77777777" w:rsidR="003073C9" w:rsidRPr="00A9586B" w:rsidRDefault="003073C9" w:rsidP="002C11EA">
            <w:pPr>
              <w:spacing w:after="0"/>
              <w:jc w:val="center"/>
              <w:rPr>
                <w:rFonts w:cs="Calibri"/>
                <w:sz w:val="24"/>
                <w:szCs w:val="24"/>
              </w:rPr>
            </w:pPr>
          </w:p>
          <w:p w14:paraId="17384F47" w14:textId="77777777" w:rsidR="003073C9" w:rsidRPr="00A9586B" w:rsidRDefault="003073C9" w:rsidP="002C11EA">
            <w:pPr>
              <w:numPr>
                <w:ilvl w:val="0"/>
                <w:numId w:val="18"/>
              </w:numPr>
              <w:spacing w:after="0"/>
              <w:rPr>
                <w:rFonts w:cs="Calibri"/>
                <w:sz w:val="24"/>
                <w:szCs w:val="24"/>
              </w:rPr>
            </w:pPr>
            <w:r w:rsidRPr="00A9586B">
              <w:rPr>
                <w:rFonts w:cs="Calibri"/>
                <w:sz w:val="24"/>
                <w:szCs w:val="24"/>
              </w:rPr>
              <w:t xml:space="preserve">The frequency band under consideration is 231.5 – 252 GHz, however, passive sensors systems under development plan to operate in the frequency range 239 – 248 GHz, given the specific characteristics of this frequency band for ice-cloud analysis. </w:t>
            </w:r>
          </w:p>
          <w:p w14:paraId="66462491" w14:textId="77777777" w:rsidR="003073C9" w:rsidRPr="00A9586B" w:rsidRDefault="003073C9" w:rsidP="002C11EA">
            <w:pPr>
              <w:spacing w:after="0"/>
              <w:ind w:left="720"/>
              <w:rPr>
                <w:rFonts w:cs="Calibri"/>
                <w:sz w:val="24"/>
                <w:szCs w:val="24"/>
              </w:rPr>
            </w:pPr>
          </w:p>
          <w:p w14:paraId="2BF5BD59" w14:textId="77777777" w:rsidR="003073C9" w:rsidRPr="00A9586B" w:rsidRDefault="003073C9" w:rsidP="002C11EA">
            <w:pPr>
              <w:spacing w:after="0"/>
              <w:jc w:val="center"/>
              <w:rPr>
                <w:rFonts w:cs="Calibri"/>
                <w:sz w:val="24"/>
                <w:szCs w:val="24"/>
              </w:rPr>
            </w:pPr>
          </w:p>
          <w:p w14:paraId="0D6DBDAD" w14:textId="77777777" w:rsidR="003073C9" w:rsidRPr="00A9586B" w:rsidRDefault="003073C9" w:rsidP="002C11EA">
            <w:pPr>
              <w:spacing w:after="0"/>
              <w:jc w:val="center"/>
              <w:rPr>
                <w:rFonts w:cs="Calibri"/>
                <w:sz w:val="24"/>
                <w:szCs w:val="24"/>
              </w:rPr>
            </w:pPr>
          </w:p>
          <w:p w14:paraId="46124E1E" w14:textId="77777777" w:rsidR="003073C9" w:rsidRPr="00A9586B" w:rsidRDefault="003073C9" w:rsidP="002C11EA">
            <w:pPr>
              <w:spacing w:after="0"/>
              <w:jc w:val="center"/>
              <w:rPr>
                <w:rFonts w:cs="Calibri"/>
                <w:sz w:val="24"/>
                <w:szCs w:val="24"/>
              </w:rPr>
            </w:pPr>
          </w:p>
          <w:p w14:paraId="474BBE8C" w14:textId="77777777" w:rsidR="003073C9" w:rsidRPr="00A9586B" w:rsidRDefault="003073C9" w:rsidP="002C11EA">
            <w:pPr>
              <w:spacing w:after="0"/>
              <w:jc w:val="center"/>
              <w:rPr>
                <w:rFonts w:cs="Calibri"/>
                <w:sz w:val="24"/>
                <w:szCs w:val="24"/>
              </w:rPr>
            </w:pPr>
          </w:p>
          <w:p w14:paraId="3FD9DF0B" w14:textId="77777777" w:rsidR="003073C9" w:rsidRPr="00A9586B" w:rsidRDefault="003073C9" w:rsidP="002C11EA">
            <w:pPr>
              <w:spacing w:after="0"/>
              <w:rPr>
                <w:rFonts w:cs="Calibri"/>
                <w:sz w:val="24"/>
                <w:szCs w:val="24"/>
              </w:rPr>
            </w:pPr>
          </w:p>
          <w:tbl>
            <w:tblPr>
              <w:tblW w:w="0" w:type="auto"/>
              <w:jc w:val="center"/>
              <w:tblCellMar>
                <w:left w:w="107" w:type="dxa"/>
                <w:right w:w="107" w:type="dxa"/>
              </w:tblCellMar>
              <w:tblLook w:val="04A0" w:firstRow="1" w:lastRow="0" w:firstColumn="1" w:lastColumn="0" w:noHBand="0" w:noVBand="1"/>
            </w:tblPr>
            <w:tblGrid>
              <w:gridCol w:w="8104"/>
            </w:tblGrid>
            <w:tr w:rsidR="003073C9" w:rsidRPr="00A9586B" w14:paraId="607EAB62" w14:textId="77777777" w:rsidTr="002C11EA">
              <w:trPr>
                <w:cantSplit/>
                <w:trHeight w:val="532"/>
                <w:jc w:val="center"/>
              </w:trPr>
              <w:tc>
                <w:tcPr>
                  <w:tcW w:w="8104" w:type="dxa"/>
                  <w:tcBorders>
                    <w:top w:val="single" w:sz="4" w:space="0" w:color="auto"/>
                    <w:left w:val="single" w:sz="4" w:space="0" w:color="auto"/>
                    <w:bottom w:val="single" w:sz="4" w:space="0" w:color="auto"/>
                    <w:right w:val="single" w:sz="4" w:space="0" w:color="auto"/>
                  </w:tcBorders>
                  <w:hideMark/>
                </w:tcPr>
                <w:p w14:paraId="244E8F33"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231.5-232</w:t>
                  </w:r>
                  <w:r w:rsidRPr="00A9586B">
                    <w:rPr>
                      <w:rFonts w:ascii="Calibri" w:hAnsi="Calibri" w:cs="Calibri"/>
                      <w:sz w:val="24"/>
                      <w:szCs w:val="24"/>
                    </w:rPr>
                    <w:tab/>
                    <w:t>FIXED</w:t>
                  </w:r>
                </w:p>
                <w:p w14:paraId="74D86813"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MOBILE</w:t>
                  </w:r>
                </w:p>
                <w:p w14:paraId="2D1D84DC"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Radiolocation</w:t>
                  </w:r>
                </w:p>
              </w:tc>
            </w:tr>
            <w:tr w:rsidR="003073C9" w:rsidRPr="00A9586B" w14:paraId="1B2B893B" w14:textId="77777777" w:rsidTr="002C11EA">
              <w:trPr>
                <w:cantSplit/>
                <w:trHeight w:val="532"/>
                <w:jc w:val="center"/>
              </w:trPr>
              <w:tc>
                <w:tcPr>
                  <w:tcW w:w="8104" w:type="dxa"/>
                  <w:tcBorders>
                    <w:top w:val="single" w:sz="4" w:space="0" w:color="auto"/>
                    <w:left w:val="single" w:sz="4" w:space="0" w:color="auto"/>
                    <w:bottom w:val="single" w:sz="4" w:space="0" w:color="auto"/>
                    <w:right w:val="single" w:sz="4" w:space="0" w:color="auto"/>
                  </w:tcBorders>
                </w:tcPr>
                <w:p w14:paraId="7681C908"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lastRenderedPageBreak/>
                    <w:t>232-235</w:t>
                  </w:r>
                  <w:r w:rsidRPr="00A9586B">
                    <w:rPr>
                      <w:rFonts w:ascii="Calibri" w:hAnsi="Calibri" w:cs="Calibri"/>
                      <w:sz w:val="24"/>
                      <w:szCs w:val="24"/>
                    </w:rPr>
                    <w:tab/>
                  </w:r>
                  <w:r w:rsidRPr="00A9586B">
                    <w:rPr>
                      <w:rFonts w:ascii="Calibri" w:hAnsi="Calibri" w:cs="Calibri"/>
                      <w:sz w:val="24"/>
                      <w:szCs w:val="24"/>
                    </w:rPr>
                    <w:tab/>
                    <w:t>FIXED</w:t>
                  </w:r>
                </w:p>
                <w:p w14:paraId="6C0A3077"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FIXED-SATELLITE (space-to-Earth)</w:t>
                  </w:r>
                </w:p>
                <w:p w14:paraId="5DF2291C"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MOBILE</w:t>
                  </w:r>
                </w:p>
                <w:p w14:paraId="2E1FF5F5"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Radiolocation</w:t>
                  </w:r>
                </w:p>
              </w:tc>
            </w:tr>
            <w:tr w:rsidR="003073C9" w:rsidRPr="00A9586B" w14:paraId="53395F83" w14:textId="77777777" w:rsidTr="002C11EA">
              <w:trPr>
                <w:cantSplit/>
                <w:trHeight w:val="532"/>
                <w:jc w:val="center"/>
              </w:trPr>
              <w:tc>
                <w:tcPr>
                  <w:tcW w:w="8104" w:type="dxa"/>
                  <w:tcBorders>
                    <w:top w:val="single" w:sz="4" w:space="0" w:color="auto"/>
                    <w:left w:val="single" w:sz="4" w:space="0" w:color="auto"/>
                    <w:bottom w:val="single" w:sz="4" w:space="0" w:color="auto"/>
                    <w:right w:val="single" w:sz="4" w:space="0" w:color="auto"/>
                  </w:tcBorders>
                </w:tcPr>
                <w:p w14:paraId="703C4C03"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235-238</w:t>
                  </w:r>
                  <w:r w:rsidRPr="00A9586B">
                    <w:rPr>
                      <w:rFonts w:ascii="Calibri" w:hAnsi="Calibri" w:cs="Calibri"/>
                      <w:sz w:val="24"/>
                      <w:szCs w:val="24"/>
                    </w:rPr>
                    <w:tab/>
                  </w:r>
                  <w:r w:rsidRPr="00A9586B">
                    <w:rPr>
                      <w:rFonts w:ascii="Calibri" w:hAnsi="Calibri" w:cs="Calibri"/>
                      <w:sz w:val="24"/>
                      <w:szCs w:val="24"/>
                    </w:rPr>
                    <w:tab/>
                    <w:t>EARTH EXPLORATION-SATELLITE (passive)</w:t>
                  </w:r>
                </w:p>
                <w:p w14:paraId="543CF60A"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FIXED-SATELLITE (space-to-Earth)</w:t>
                  </w:r>
                </w:p>
                <w:p w14:paraId="41B7CDA7"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SPACE RESEARCH (passive)</w:t>
                  </w:r>
                </w:p>
                <w:p w14:paraId="43594859"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5.563A  5.563B</w:t>
                  </w:r>
                </w:p>
              </w:tc>
            </w:tr>
            <w:tr w:rsidR="003073C9" w:rsidRPr="00FC5E7A" w14:paraId="3DDA2F7B" w14:textId="77777777" w:rsidTr="002C11EA">
              <w:trPr>
                <w:cantSplit/>
                <w:trHeight w:val="532"/>
                <w:jc w:val="center"/>
              </w:trPr>
              <w:tc>
                <w:tcPr>
                  <w:tcW w:w="8104" w:type="dxa"/>
                  <w:tcBorders>
                    <w:top w:val="single" w:sz="4" w:space="0" w:color="auto"/>
                    <w:left w:val="single" w:sz="4" w:space="0" w:color="auto"/>
                    <w:bottom w:val="single" w:sz="4" w:space="0" w:color="auto"/>
                    <w:right w:val="single" w:sz="4" w:space="0" w:color="auto"/>
                  </w:tcBorders>
                </w:tcPr>
                <w:p w14:paraId="5B1214FB"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238-240</w:t>
                  </w:r>
                  <w:r w:rsidRPr="00A9586B">
                    <w:rPr>
                      <w:rFonts w:ascii="Calibri" w:hAnsi="Calibri" w:cs="Calibri"/>
                      <w:sz w:val="24"/>
                      <w:szCs w:val="24"/>
                    </w:rPr>
                    <w:tab/>
                  </w:r>
                  <w:r w:rsidRPr="00A9586B">
                    <w:rPr>
                      <w:rFonts w:ascii="Calibri" w:hAnsi="Calibri" w:cs="Calibri"/>
                      <w:sz w:val="24"/>
                      <w:szCs w:val="24"/>
                    </w:rPr>
                    <w:tab/>
                    <w:t>FIXED</w:t>
                  </w:r>
                </w:p>
                <w:p w14:paraId="5FBBCCB4"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FIXED-SATELLITE (space-to-Earth)</w:t>
                  </w:r>
                </w:p>
                <w:p w14:paraId="42A90855"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lang w:val="fr-CH"/>
                    </w:rPr>
                    <w:t>MOBILE</w:t>
                  </w:r>
                </w:p>
                <w:p w14:paraId="69B170C7"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t>RADIOLOCATION</w:t>
                  </w:r>
                </w:p>
                <w:p w14:paraId="57408292"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t>RADIONAVIGATION</w:t>
                  </w:r>
                </w:p>
                <w:p w14:paraId="60DDF3AD"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t>RADIONAVIGATION-SATELLITE</w:t>
                  </w:r>
                </w:p>
              </w:tc>
            </w:tr>
            <w:tr w:rsidR="003073C9" w:rsidRPr="00A9586B" w14:paraId="1636B6CE" w14:textId="77777777" w:rsidTr="002C11EA">
              <w:trPr>
                <w:cantSplit/>
                <w:trHeight w:val="532"/>
                <w:jc w:val="center"/>
              </w:trPr>
              <w:tc>
                <w:tcPr>
                  <w:tcW w:w="8104" w:type="dxa"/>
                  <w:tcBorders>
                    <w:top w:val="single" w:sz="4" w:space="0" w:color="auto"/>
                    <w:left w:val="single" w:sz="4" w:space="0" w:color="auto"/>
                    <w:bottom w:val="single" w:sz="4" w:space="0" w:color="auto"/>
                    <w:right w:val="single" w:sz="4" w:space="0" w:color="auto"/>
                  </w:tcBorders>
                </w:tcPr>
                <w:p w14:paraId="765C5048"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240-241</w:t>
                  </w:r>
                  <w:r w:rsidRPr="00A9586B">
                    <w:rPr>
                      <w:rFonts w:ascii="Calibri" w:hAnsi="Calibri" w:cs="Calibri"/>
                      <w:sz w:val="24"/>
                      <w:szCs w:val="24"/>
                    </w:rPr>
                    <w:tab/>
                  </w:r>
                  <w:r w:rsidRPr="00A9586B">
                    <w:rPr>
                      <w:rFonts w:ascii="Calibri" w:hAnsi="Calibri" w:cs="Calibri"/>
                      <w:sz w:val="24"/>
                      <w:szCs w:val="24"/>
                    </w:rPr>
                    <w:tab/>
                    <w:t>FIXED</w:t>
                  </w:r>
                </w:p>
                <w:p w14:paraId="4E80C8C0"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MOBILE</w:t>
                  </w:r>
                </w:p>
                <w:p w14:paraId="3DA24B7C"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RADIOLOCATION</w:t>
                  </w:r>
                </w:p>
              </w:tc>
            </w:tr>
            <w:tr w:rsidR="003073C9" w:rsidRPr="00A9586B" w14:paraId="360C8589" w14:textId="77777777" w:rsidTr="002C11EA">
              <w:trPr>
                <w:cantSplit/>
                <w:trHeight w:val="532"/>
                <w:jc w:val="center"/>
              </w:trPr>
              <w:tc>
                <w:tcPr>
                  <w:tcW w:w="8104" w:type="dxa"/>
                  <w:tcBorders>
                    <w:top w:val="single" w:sz="4" w:space="0" w:color="auto"/>
                    <w:left w:val="single" w:sz="4" w:space="0" w:color="auto"/>
                    <w:bottom w:val="single" w:sz="4" w:space="0" w:color="auto"/>
                    <w:right w:val="single" w:sz="4" w:space="0" w:color="auto"/>
                  </w:tcBorders>
                </w:tcPr>
                <w:p w14:paraId="4C0FBFBF"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241-248</w:t>
                  </w:r>
                  <w:r w:rsidRPr="00A9586B">
                    <w:rPr>
                      <w:rFonts w:ascii="Calibri" w:hAnsi="Calibri" w:cs="Calibri"/>
                      <w:sz w:val="24"/>
                      <w:szCs w:val="24"/>
                      <w:lang w:val="fr-CH"/>
                    </w:rPr>
                    <w:tab/>
                  </w:r>
                  <w:r w:rsidRPr="00A9586B">
                    <w:rPr>
                      <w:rFonts w:ascii="Calibri" w:hAnsi="Calibri" w:cs="Calibri"/>
                      <w:sz w:val="24"/>
                      <w:szCs w:val="24"/>
                      <w:lang w:val="fr-CH"/>
                    </w:rPr>
                    <w:tab/>
                    <w:t>RADIO ASTRONOMY</w:t>
                  </w:r>
                </w:p>
                <w:p w14:paraId="133BE419"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t>RADIOLOCATION</w:t>
                  </w:r>
                </w:p>
                <w:p w14:paraId="7BAA4129"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t>Amateur</w:t>
                  </w:r>
                </w:p>
                <w:p w14:paraId="4D92B6EF"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t>Amateur-satellite</w:t>
                  </w:r>
                </w:p>
                <w:p w14:paraId="1080BE2D"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rPr>
                    <w:t>5.138  5.149</w:t>
                  </w:r>
                </w:p>
              </w:tc>
            </w:tr>
            <w:tr w:rsidR="003073C9" w:rsidRPr="00FC5E7A" w14:paraId="5469AB39" w14:textId="77777777" w:rsidTr="002C11EA">
              <w:trPr>
                <w:cantSplit/>
                <w:trHeight w:val="532"/>
                <w:jc w:val="center"/>
              </w:trPr>
              <w:tc>
                <w:tcPr>
                  <w:tcW w:w="8104" w:type="dxa"/>
                  <w:tcBorders>
                    <w:top w:val="single" w:sz="4" w:space="0" w:color="auto"/>
                    <w:left w:val="single" w:sz="4" w:space="0" w:color="auto"/>
                    <w:bottom w:val="single" w:sz="4" w:space="0" w:color="auto"/>
                    <w:right w:val="single" w:sz="4" w:space="0" w:color="auto"/>
                  </w:tcBorders>
                </w:tcPr>
                <w:p w14:paraId="196BB3A9"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248-250</w:t>
                  </w:r>
                  <w:r w:rsidRPr="00A9586B">
                    <w:rPr>
                      <w:rFonts w:ascii="Calibri" w:hAnsi="Calibri" w:cs="Calibri"/>
                      <w:sz w:val="24"/>
                      <w:szCs w:val="24"/>
                      <w:lang w:val="fr-CH"/>
                    </w:rPr>
                    <w:tab/>
                  </w:r>
                  <w:r w:rsidRPr="00A9586B">
                    <w:rPr>
                      <w:rFonts w:ascii="Calibri" w:hAnsi="Calibri" w:cs="Calibri"/>
                      <w:sz w:val="24"/>
                      <w:szCs w:val="24"/>
                      <w:lang w:val="fr-CH"/>
                    </w:rPr>
                    <w:tab/>
                    <w:t>AMATEUR</w:t>
                  </w:r>
                </w:p>
                <w:p w14:paraId="53D81A88"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t>AMATEUR-SATELLITE</w:t>
                  </w:r>
                </w:p>
                <w:p w14:paraId="247EBFD4"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t xml:space="preserve">Radio </w:t>
                  </w:r>
                  <w:proofErr w:type="spellStart"/>
                  <w:r w:rsidRPr="00A9586B">
                    <w:rPr>
                      <w:rFonts w:ascii="Calibri" w:hAnsi="Calibri" w:cs="Calibri"/>
                      <w:sz w:val="24"/>
                      <w:szCs w:val="24"/>
                      <w:lang w:val="fr-CH"/>
                    </w:rPr>
                    <w:t>astronomy</w:t>
                  </w:r>
                  <w:proofErr w:type="spellEnd"/>
                </w:p>
                <w:p w14:paraId="2D91FB7D" w14:textId="77777777" w:rsidR="003073C9" w:rsidRPr="00A9586B" w:rsidRDefault="003073C9" w:rsidP="002C11EA">
                  <w:pPr>
                    <w:pStyle w:val="TableTextS5"/>
                    <w:rPr>
                      <w:rFonts w:ascii="Calibri" w:hAnsi="Calibri" w:cs="Calibri"/>
                      <w:sz w:val="24"/>
                      <w:szCs w:val="24"/>
                      <w:lang w:val="fr-CH"/>
                    </w:rPr>
                  </w:pP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r>
                  <w:r w:rsidRPr="00A9586B">
                    <w:rPr>
                      <w:rFonts w:ascii="Calibri" w:hAnsi="Calibri" w:cs="Calibri"/>
                      <w:sz w:val="24"/>
                      <w:szCs w:val="24"/>
                      <w:lang w:val="fr-CH"/>
                    </w:rPr>
                    <w:tab/>
                    <w:t>5.149</w:t>
                  </w:r>
                </w:p>
              </w:tc>
            </w:tr>
            <w:tr w:rsidR="003073C9" w:rsidRPr="00A9586B" w14:paraId="4BC3A344" w14:textId="77777777" w:rsidTr="002C11EA">
              <w:trPr>
                <w:cantSplit/>
                <w:trHeight w:val="532"/>
                <w:jc w:val="center"/>
              </w:trPr>
              <w:tc>
                <w:tcPr>
                  <w:tcW w:w="8104" w:type="dxa"/>
                  <w:tcBorders>
                    <w:top w:val="single" w:sz="4" w:space="0" w:color="auto"/>
                    <w:left w:val="single" w:sz="4" w:space="0" w:color="auto"/>
                    <w:bottom w:val="single" w:sz="4" w:space="0" w:color="auto"/>
                    <w:right w:val="single" w:sz="4" w:space="0" w:color="auto"/>
                  </w:tcBorders>
                </w:tcPr>
                <w:p w14:paraId="74DA881D"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250-252</w:t>
                  </w:r>
                  <w:r w:rsidRPr="00A9586B">
                    <w:rPr>
                      <w:rFonts w:ascii="Calibri" w:hAnsi="Calibri" w:cs="Calibri"/>
                      <w:sz w:val="24"/>
                      <w:szCs w:val="24"/>
                    </w:rPr>
                    <w:tab/>
                  </w:r>
                  <w:r w:rsidRPr="00A9586B">
                    <w:rPr>
                      <w:rFonts w:ascii="Calibri" w:hAnsi="Calibri" w:cs="Calibri"/>
                      <w:sz w:val="24"/>
                      <w:szCs w:val="24"/>
                    </w:rPr>
                    <w:tab/>
                    <w:t>EARTH EXPLORATION-SATELLITE (passive)</w:t>
                  </w:r>
                </w:p>
                <w:p w14:paraId="7EA4BBA4"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RADIO ASTRONOMY</w:t>
                  </w:r>
                </w:p>
                <w:p w14:paraId="10BF6D34"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SPACE RESEARCH (passive)</w:t>
                  </w:r>
                </w:p>
                <w:p w14:paraId="1ACD29A7" w14:textId="77777777" w:rsidR="003073C9" w:rsidRPr="00A9586B" w:rsidRDefault="003073C9" w:rsidP="002C11EA">
                  <w:pPr>
                    <w:pStyle w:val="TableTextS5"/>
                    <w:rPr>
                      <w:rFonts w:ascii="Calibri" w:hAnsi="Calibri" w:cs="Calibri"/>
                      <w:sz w:val="24"/>
                      <w:szCs w:val="24"/>
                    </w:rPr>
                  </w:pP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r>
                  <w:r w:rsidRPr="00A9586B">
                    <w:rPr>
                      <w:rFonts w:ascii="Calibri" w:hAnsi="Calibri" w:cs="Calibri"/>
                      <w:sz w:val="24"/>
                      <w:szCs w:val="24"/>
                    </w:rPr>
                    <w:tab/>
                    <w:t>5.340  5.563A</w:t>
                  </w:r>
                </w:p>
              </w:tc>
            </w:tr>
          </w:tbl>
          <w:p w14:paraId="2B5B3900" w14:textId="77777777" w:rsidR="003073C9" w:rsidRPr="00A9586B" w:rsidRDefault="003073C9" w:rsidP="002C11EA">
            <w:pPr>
              <w:spacing w:after="0"/>
              <w:jc w:val="center"/>
              <w:rPr>
                <w:rFonts w:cs="Calibri"/>
                <w:sz w:val="24"/>
                <w:szCs w:val="24"/>
              </w:rPr>
            </w:pPr>
            <w:r w:rsidRPr="00A9586B">
              <w:rPr>
                <w:rFonts w:cs="Calibri"/>
                <w:sz w:val="24"/>
                <w:szCs w:val="24"/>
              </w:rPr>
              <w:t>Figure 2: ITU-R Table of frequency allocation.</w:t>
            </w:r>
          </w:p>
          <w:p w14:paraId="65A691E9" w14:textId="77777777" w:rsidR="003073C9" w:rsidRPr="00A9586B" w:rsidRDefault="003073C9" w:rsidP="002C11EA">
            <w:pPr>
              <w:spacing w:after="0"/>
              <w:jc w:val="center"/>
              <w:rPr>
                <w:rFonts w:cs="Calibri"/>
                <w:sz w:val="24"/>
                <w:szCs w:val="24"/>
              </w:rPr>
            </w:pPr>
          </w:p>
          <w:p w14:paraId="42387A7A" w14:textId="77777777" w:rsidR="003073C9" w:rsidRPr="00A9586B" w:rsidRDefault="003073C9" w:rsidP="002C11EA">
            <w:pPr>
              <w:spacing w:after="0"/>
              <w:jc w:val="both"/>
              <w:rPr>
                <w:rFonts w:cs="Calibri"/>
                <w:b/>
                <w:sz w:val="24"/>
                <w:szCs w:val="24"/>
              </w:rPr>
            </w:pPr>
            <w:r w:rsidRPr="00A9586B">
              <w:rPr>
                <w:rFonts w:cs="Calibri"/>
                <w:b/>
                <w:sz w:val="24"/>
                <w:szCs w:val="24"/>
              </w:rPr>
              <w:t>African Spectrum Allocation Plan (</w:t>
            </w:r>
            <w:proofErr w:type="spellStart"/>
            <w:r w:rsidRPr="00A9586B">
              <w:rPr>
                <w:rFonts w:cs="Calibri"/>
                <w:b/>
                <w:sz w:val="24"/>
                <w:szCs w:val="24"/>
              </w:rPr>
              <w:t>AfriSAP</w:t>
            </w:r>
            <w:proofErr w:type="spellEnd"/>
            <w:r w:rsidRPr="00A9586B">
              <w:rPr>
                <w:rFonts w:cs="Calibri"/>
                <w:b/>
                <w:sz w:val="24"/>
                <w:szCs w:val="24"/>
              </w:rPr>
              <w:t>)</w:t>
            </w:r>
          </w:p>
          <w:p w14:paraId="0BBF6434" w14:textId="77777777" w:rsidR="003073C9" w:rsidRPr="00A9586B" w:rsidRDefault="003073C9" w:rsidP="002C11EA">
            <w:pPr>
              <w:numPr>
                <w:ilvl w:val="0"/>
                <w:numId w:val="18"/>
              </w:numPr>
              <w:spacing w:after="0"/>
              <w:jc w:val="both"/>
              <w:rPr>
                <w:rFonts w:cs="Calibri"/>
                <w:sz w:val="24"/>
                <w:szCs w:val="24"/>
              </w:rPr>
            </w:pPr>
            <w:r w:rsidRPr="00A9586B">
              <w:rPr>
                <w:rFonts w:cs="Calibri"/>
                <w:sz w:val="24"/>
                <w:szCs w:val="24"/>
              </w:rPr>
              <w:t>Frequency allocation is exactly the same as in the ITU-R Table of frequency allocation in the frequency band 231.5 – 252 GHz.</w:t>
            </w:r>
          </w:p>
          <w:p w14:paraId="4873D61D" w14:textId="77777777" w:rsidR="003073C9" w:rsidRPr="00A9586B" w:rsidRDefault="003073C9" w:rsidP="002C11EA">
            <w:pPr>
              <w:numPr>
                <w:ilvl w:val="0"/>
                <w:numId w:val="18"/>
              </w:numPr>
              <w:spacing w:after="0"/>
              <w:jc w:val="both"/>
              <w:rPr>
                <w:rFonts w:cs="Calibri"/>
                <w:sz w:val="24"/>
                <w:szCs w:val="24"/>
              </w:rPr>
            </w:pPr>
            <w:r w:rsidRPr="00A9586B">
              <w:rPr>
                <w:rFonts w:cs="Calibri"/>
                <w:sz w:val="24"/>
                <w:szCs w:val="24"/>
              </w:rPr>
              <w:t>SRDs applications are the currently identified typical applications in the band 241 – 248, while radio astronomy observations are identified in the band 241 – 252 GHz.</w:t>
            </w:r>
          </w:p>
          <w:p w14:paraId="1EE9EB5B" w14:textId="77777777" w:rsidR="003073C9" w:rsidRPr="00A9586B" w:rsidRDefault="003073C9" w:rsidP="002C11EA">
            <w:pPr>
              <w:numPr>
                <w:ilvl w:val="0"/>
                <w:numId w:val="18"/>
              </w:numPr>
              <w:spacing w:after="0"/>
              <w:jc w:val="both"/>
              <w:rPr>
                <w:rFonts w:cs="Calibri"/>
                <w:sz w:val="24"/>
                <w:szCs w:val="24"/>
              </w:rPr>
            </w:pPr>
            <w:r w:rsidRPr="00A9586B">
              <w:rPr>
                <w:rFonts w:cs="Calibri"/>
                <w:sz w:val="24"/>
                <w:szCs w:val="24"/>
              </w:rPr>
              <w:t>No other typical applications are identified in the band 231.5 – 252 GHz</w:t>
            </w:r>
          </w:p>
          <w:p w14:paraId="0EF6CD37" w14:textId="77777777" w:rsidR="003073C9" w:rsidRPr="00A9586B" w:rsidRDefault="003073C9" w:rsidP="002C11EA">
            <w:pPr>
              <w:spacing w:after="0"/>
              <w:jc w:val="both"/>
              <w:rPr>
                <w:rFonts w:cs="Calibri"/>
                <w:sz w:val="24"/>
                <w:szCs w:val="24"/>
              </w:rPr>
            </w:pPr>
          </w:p>
        </w:tc>
      </w:tr>
      <w:tr w:rsidR="003073C9" w:rsidRPr="00A9586B" w14:paraId="7CEFCF59" w14:textId="77777777" w:rsidTr="002C11EA">
        <w:tc>
          <w:tcPr>
            <w:tcW w:w="9576" w:type="dxa"/>
            <w:gridSpan w:val="2"/>
          </w:tcPr>
          <w:p w14:paraId="76B0EFE3" w14:textId="77777777" w:rsidR="003073C9" w:rsidRPr="00A9586B" w:rsidRDefault="003073C9" w:rsidP="002C11EA">
            <w:pPr>
              <w:spacing w:after="0"/>
              <w:rPr>
                <w:rFonts w:cs="Calibri"/>
                <w:b/>
                <w:i/>
                <w:color w:val="00B050"/>
                <w:spacing w:val="60"/>
                <w:sz w:val="24"/>
                <w:szCs w:val="24"/>
              </w:rPr>
            </w:pPr>
            <w:r w:rsidRPr="00A9586B">
              <w:rPr>
                <w:rFonts w:cs="Calibri"/>
                <w:b/>
                <w:i/>
                <w:color w:val="00B050"/>
                <w:spacing w:val="60"/>
                <w:sz w:val="24"/>
                <w:szCs w:val="24"/>
              </w:rPr>
              <w:lastRenderedPageBreak/>
              <w:t>Part D: Conclusion of the results of studies, if any</w:t>
            </w:r>
          </w:p>
        </w:tc>
      </w:tr>
      <w:tr w:rsidR="003073C9" w:rsidRPr="00A9586B" w14:paraId="5F871154" w14:textId="77777777" w:rsidTr="002C11EA">
        <w:trPr>
          <w:trHeight w:val="1151"/>
        </w:trPr>
        <w:tc>
          <w:tcPr>
            <w:tcW w:w="9576" w:type="dxa"/>
            <w:gridSpan w:val="2"/>
          </w:tcPr>
          <w:p w14:paraId="16F27B27" w14:textId="77777777" w:rsidR="003073C9" w:rsidRPr="00A9586B" w:rsidRDefault="003073C9" w:rsidP="002C11EA">
            <w:pPr>
              <w:spacing w:after="0"/>
              <w:jc w:val="both"/>
              <w:rPr>
                <w:rFonts w:cs="Calibri"/>
                <w:sz w:val="24"/>
                <w:szCs w:val="24"/>
              </w:rPr>
            </w:pPr>
            <w:r w:rsidRPr="00A9586B">
              <w:rPr>
                <w:rFonts w:cs="Calibri"/>
                <w:sz w:val="24"/>
                <w:szCs w:val="24"/>
              </w:rPr>
              <w:t xml:space="preserve">There are currently no studies developed under this agenda item. In the meeting of September 2020, WP 7C developed the first draft for a reference document called “Elements related to WRC-23 agenda item 1.14” (Document 7C/105 Annex21). This provided the scientific background and description of this particular application of EESS(passive). The document has been updated to incorporate input from USA, ESA and EUMETSAT in the meeting of April 2021. </w:t>
            </w:r>
          </w:p>
          <w:p w14:paraId="6F6B3758" w14:textId="77777777" w:rsidR="003073C9" w:rsidRPr="00A9586B" w:rsidRDefault="003073C9" w:rsidP="002C11EA">
            <w:pPr>
              <w:spacing w:after="0"/>
              <w:jc w:val="both"/>
              <w:rPr>
                <w:rFonts w:cs="Calibri"/>
                <w:sz w:val="24"/>
                <w:szCs w:val="24"/>
              </w:rPr>
            </w:pPr>
          </w:p>
          <w:p w14:paraId="7F37234D" w14:textId="77777777" w:rsidR="003073C9" w:rsidRPr="00A9586B" w:rsidRDefault="003073C9" w:rsidP="002C11EA">
            <w:pPr>
              <w:spacing w:after="0"/>
              <w:jc w:val="both"/>
              <w:rPr>
                <w:rFonts w:cs="Calibri"/>
                <w:sz w:val="24"/>
                <w:szCs w:val="24"/>
              </w:rPr>
            </w:pPr>
            <w:r w:rsidRPr="00A9586B">
              <w:rPr>
                <w:rFonts w:cs="Calibri"/>
                <w:sz w:val="24"/>
                <w:szCs w:val="24"/>
              </w:rPr>
              <w:t>The Working Parties (WP 5A, 5B and 5C) provided liaisons to WP7C informing it that there are currently no information regarding and characteristics of active services available.</w:t>
            </w:r>
          </w:p>
          <w:p w14:paraId="01523664" w14:textId="77777777" w:rsidR="003073C9" w:rsidRPr="00A9586B" w:rsidRDefault="003073C9" w:rsidP="002C11EA">
            <w:pPr>
              <w:spacing w:after="0"/>
              <w:jc w:val="both"/>
              <w:rPr>
                <w:rFonts w:cs="Calibri"/>
                <w:sz w:val="24"/>
                <w:szCs w:val="24"/>
              </w:rPr>
            </w:pPr>
            <w:r w:rsidRPr="00A9586B">
              <w:rPr>
                <w:rFonts w:cs="Calibri"/>
                <w:sz w:val="24"/>
                <w:szCs w:val="24"/>
              </w:rPr>
              <w:t xml:space="preserve">Working Party 4C also provided a liaison informing WP7C that presently no ITU-R documents that describe the RNSS or MSS technical or operational characteristics for the frequency band 231.5 – 252 GHz. </w:t>
            </w:r>
          </w:p>
          <w:p w14:paraId="49FD3FB8" w14:textId="77777777" w:rsidR="003073C9" w:rsidRPr="00A9586B" w:rsidRDefault="003073C9" w:rsidP="002C11EA">
            <w:pPr>
              <w:spacing w:after="0"/>
              <w:jc w:val="both"/>
              <w:rPr>
                <w:rFonts w:cs="Calibri"/>
                <w:sz w:val="24"/>
                <w:szCs w:val="24"/>
              </w:rPr>
            </w:pPr>
          </w:p>
          <w:p w14:paraId="138241D3" w14:textId="77777777" w:rsidR="003073C9" w:rsidRPr="00A9586B" w:rsidRDefault="003073C9" w:rsidP="002C11EA">
            <w:pPr>
              <w:spacing w:after="0"/>
              <w:jc w:val="both"/>
              <w:rPr>
                <w:rFonts w:cs="Calibri"/>
                <w:sz w:val="24"/>
                <w:szCs w:val="24"/>
              </w:rPr>
            </w:pPr>
            <w:r w:rsidRPr="00A9586B">
              <w:rPr>
                <w:rFonts w:cs="Calibri"/>
                <w:sz w:val="24"/>
                <w:szCs w:val="24"/>
              </w:rPr>
              <w:t>WP 7D provided a liaison informing WP 7C of the availability of primary RAS allocations in the band considered and that the threshold levels of interference detrimental to radio astronomy observations can be taken Recommendation ITU-R RA.769.</w:t>
            </w:r>
          </w:p>
          <w:p w14:paraId="072401A4" w14:textId="77777777" w:rsidR="003073C9" w:rsidRPr="00A9586B" w:rsidRDefault="003073C9" w:rsidP="002C11EA">
            <w:pPr>
              <w:spacing w:after="0"/>
              <w:jc w:val="both"/>
              <w:rPr>
                <w:rFonts w:cs="Calibri"/>
                <w:sz w:val="24"/>
                <w:szCs w:val="24"/>
              </w:rPr>
            </w:pPr>
          </w:p>
          <w:p w14:paraId="0B5F96B8" w14:textId="77777777" w:rsidR="003073C9" w:rsidRPr="00A9586B" w:rsidRDefault="003073C9" w:rsidP="002C11EA">
            <w:pPr>
              <w:spacing w:after="0"/>
              <w:jc w:val="both"/>
              <w:rPr>
                <w:rFonts w:cs="Calibri"/>
                <w:sz w:val="24"/>
                <w:szCs w:val="24"/>
              </w:rPr>
            </w:pPr>
            <w:r w:rsidRPr="00A9586B">
              <w:rPr>
                <w:rFonts w:cs="Calibri"/>
                <w:sz w:val="24"/>
                <w:szCs w:val="24"/>
              </w:rPr>
              <w:t>More updates and contributions from contributing working groups are expected in the WP7C meeting of Sept 2021.</w:t>
            </w:r>
          </w:p>
          <w:p w14:paraId="6D25D5C6" w14:textId="77777777" w:rsidR="003073C9" w:rsidRPr="00A9586B" w:rsidRDefault="003073C9" w:rsidP="002C11EA">
            <w:pPr>
              <w:spacing w:after="0"/>
              <w:jc w:val="both"/>
              <w:rPr>
                <w:rFonts w:cs="Calibri"/>
                <w:sz w:val="24"/>
                <w:szCs w:val="24"/>
              </w:rPr>
            </w:pPr>
          </w:p>
        </w:tc>
      </w:tr>
      <w:tr w:rsidR="003073C9" w:rsidRPr="00A9586B" w14:paraId="21580052" w14:textId="77777777" w:rsidTr="002C11EA">
        <w:tc>
          <w:tcPr>
            <w:tcW w:w="9576" w:type="dxa"/>
            <w:gridSpan w:val="2"/>
          </w:tcPr>
          <w:p w14:paraId="5BB09BDB" w14:textId="77777777" w:rsidR="003073C9" w:rsidRPr="00A9586B" w:rsidRDefault="003073C9" w:rsidP="002C11EA">
            <w:pPr>
              <w:spacing w:after="0"/>
              <w:rPr>
                <w:rFonts w:cs="Calibri"/>
                <w:b/>
                <w:i/>
                <w:color w:val="00B050"/>
                <w:spacing w:val="60"/>
                <w:sz w:val="24"/>
                <w:szCs w:val="24"/>
              </w:rPr>
            </w:pPr>
            <w:r w:rsidRPr="00A9586B">
              <w:rPr>
                <w:rFonts w:cs="Calibri"/>
                <w:b/>
                <w:i/>
                <w:color w:val="00B050"/>
                <w:spacing w:val="60"/>
                <w:sz w:val="24"/>
                <w:szCs w:val="24"/>
              </w:rPr>
              <w:t>Part E: Options and Associated Implications</w:t>
            </w:r>
          </w:p>
        </w:tc>
      </w:tr>
      <w:tr w:rsidR="003073C9" w:rsidRPr="00A9586B" w14:paraId="4F9A2252" w14:textId="77777777" w:rsidTr="002C11EA">
        <w:trPr>
          <w:trHeight w:val="1151"/>
        </w:trPr>
        <w:tc>
          <w:tcPr>
            <w:tcW w:w="9576" w:type="dxa"/>
            <w:gridSpan w:val="2"/>
          </w:tcPr>
          <w:p w14:paraId="48110282" w14:textId="77777777" w:rsidR="003073C9" w:rsidRPr="00A9586B" w:rsidRDefault="003073C9" w:rsidP="002C11EA">
            <w:pPr>
              <w:spacing w:after="0"/>
              <w:jc w:val="both"/>
              <w:rPr>
                <w:rFonts w:cs="Calibri"/>
                <w:i/>
                <w:sz w:val="24"/>
                <w:szCs w:val="24"/>
              </w:rPr>
            </w:pPr>
            <w:r w:rsidRPr="00A9586B">
              <w:rPr>
                <w:rFonts w:cs="Calibri"/>
                <w:i/>
                <w:sz w:val="24"/>
                <w:szCs w:val="24"/>
              </w:rPr>
              <w:t>N/A</w:t>
            </w:r>
          </w:p>
        </w:tc>
      </w:tr>
      <w:tr w:rsidR="003073C9" w:rsidRPr="00A9586B" w14:paraId="5A493C1F" w14:textId="77777777" w:rsidTr="002C11EA">
        <w:trPr>
          <w:trHeight w:val="60"/>
        </w:trPr>
        <w:tc>
          <w:tcPr>
            <w:tcW w:w="9576" w:type="dxa"/>
            <w:gridSpan w:val="2"/>
          </w:tcPr>
          <w:p w14:paraId="67238F9C" w14:textId="65228EB8" w:rsidR="003073C9" w:rsidRPr="00A9586B" w:rsidRDefault="003073C9" w:rsidP="002C11EA">
            <w:pPr>
              <w:spacing w:after="0"/>
              <w:rPr>
                <w:rFonts w:cs="Calibri"/>
                <w:b/>
                <w:i/>
                <w:color w:val="00B050"/>
                <w:spacing w:val="60"/>
                <w:sz w:val="24"/>
                <w:szCs w:val="24"/>
              </w:rPr>
            </w:pPr>
            <w:r w:rsidRPr="00A9586B">
              <w:rPr>
                <w:rFonts w:cs="Calibri"/>
                <w:b/>
                <w:i/>
                <w:color w:val="00B050"/>
                <w:spacing w:val="60"/>
                <w:sz w:val="24"/>
                <w:szCs w:val="24"/>
              </w:rPr>
              <w:t xml:space="preserve">Part F: Proposed </w:t>
            </w:r>
            <w:r w:rsidR="00D35CA4">
              <w:rPr>
                <w:rFonts w:cs="Calibri"/>
                <w:b/>
                <w:i/>
                <w:color w:val="00B050"/>
                <w:spacing w:val="60"/>
                <w:sz w:val="24"/>
                <w:szCs w:val="24"/>
              </w:rPr>
              <w:t>EACO</w:t>
            </w:r>
            <w:r w:rsidRPr="00A9586B">
              <w:rPr>
                <w:rFonts w:cs="Calibri"/>
                <w:b/>
                <w:i/>
                <w:color w:val="00B050"/>
                <w:spacing w:val="60"/>
                <w:sz w:val="24"/>
                <w:szCs w:val="24"/>
              </w:rPr>
              <w:t xml:space="preserve"> Common View and/or Position</w:t>
            </w:r>
          </w:p>
        </w:tc>
      </w:tr>
      <w:tr w:rsidR="003073C9" w:rsidRPr="00A9586B" w14:paraId="728BA093" w14:textId="77777777" w:rsidTr="002C11EA">
        <w:trPr>
          <w:trHeight w:val="998"/>
        </w:trPr>
        <w:tc>
          <w:tcPr>
            <w:tcW w:w="9576" w:type="dxa"/>
            <w:gridSpan w:val="2"/>
            <w:vAlign w:val="center"/>
          </w:tcPr>
          <w:p w14:paraId="4694530B" w14:textId="77777777" w:rsidR="003073C9" w:rsidRPr="00A9586B" w:rsidRDefault="003073C9" w:rsidP="002C11EA">
            <w:pPr>
              <w:spacing w:after="0"/>
              <w:jc w:val="both"/>
              <w:rPr>
                <w:rFonts w:cs="Calibri"/>
                <w:sz w:val="24"/>
                <w:szCs w:val="24"/>
              </w:rPr>
            </w:pPr>
            <w:r w:rsidRPr="00A9586B">
              <w:rPr>
                <w:rFonts w:cs="Calibri"/>
                <w:sz w:val="24"/>
                <w:szCs w:val="24"/>
              </w:rPr>
              <w:t xml:space="preserve"> Support the ITU-R studies to review frequency allocation and consider some adjustment/extension of the EESS (passive) allocation to accommodate up-to-date observation requirements of passive microwave sensing, taking into account the benefits of this application of passive microwave sensing. However, the effect on the primary services in the frequency range 231.5 – 252 GHz would have to be studied to ensure protection and that no undue constraints on the following services and affected bands: </w:t>
            </w:r>
          </w:p>
          <w:p w14:paraId="4342A869" w14:textId="77777777" w:rsidR="003073C9" w:rsidRPr="00A9586B" w:rsidRDefault="003073C9" w:rsidP="002C11EA">
            <w:pPr>
              <w:spacing w:after="0"/>
              <w:jc w:val="both"/>
              <w:rPr>
                <w:rFonts w:cs="Calibri"/>
                <w:sz w:val="24"/>
                <w:szCs w:val="24"/>
              </w:rPr>
            </w:pPr>
          </w:p>
          <w:p w14:paraId="6F438EB2" w14:textId="77777777" w:rsidR="003073C9" w:rsidRPr="00A9586B" w:rsidRDefault="003073C9" w:rsidP="002C11EA">
            <w:pPr>
              <w:numPr>
                <w:ilvl w:val="0"/>
                <w:numId w:val="17"/>
              </w:numPr>
              <w:spacing w:after="0"/>
              <w:jc w:val="both"/>
              <w:rPr>
                <w:rFonts w:cs="Calibri"/>
                <w:sz w:val="24"/>
                <w:szCs w:val="24"/>
              </w:rPr>
            </w:pPr>
            <w:r w:rsidRPr="00A9586B">
              <w:rPr>
                <w:rFonts w:cs="Calibri"/>
                <w:b/>
                <w:sz w:val="24"/>
                <w:szCs w:val="24"/>
              </w:rPr>
              <w:t>Radionavigation services</w:t>
            </w:r>
            <w:r w:rsidRPr="00A9586B">
              <w:rPr>
                <w:rFonts w:cs="Calibri"/>
                <w:sz w:val="24"/>
                <w:szCs w:val="24"/>
              </w:rPr>
              <w:t xml:space="preserve"> in the band 238 – 240 GHz.</w:t>
            </w:r>
          </w:p>
          <w:p w14:paraId="0DC6389B" w14:textId="77777777" w:rsidR="003073C9" w:rsidRPr="00A9586B" w:rsidRDefault="003073C9" w:rsidP="002C11EA">
            <w:pPr>
              <w:numPr>
                <w:ilvl w:val="0"/>
                <w:numId w:val="17"/>
              </w:numPr>
              <w:spacing w:after="0"/>
              <w:jc w:val="both"/>
              <w:rPr>
                <w:rFonts w:cs="Calibri"/>
                <w:sz w:val="24"/>
                <w:szCs w:val="24"/>
              </w:rPr>
            </w:pPr>
            <w:r w:rsidRPr="00A9586B">
              <w:rPr>
                <w:rFonts w:cs="Calibri"/>
                <w:b/>
                <w:sz w:val="24"/>
                <w:szCs w:val="24"/>
              </w:rPr>
              <w:t>Radionavigation satellites</w:t>
            </w:r>
            <w:r w:rsidRPr="00A9586B">
              <w:rPr>
                <w:rFonts w:cs="Calibri"/>
                <w:sz w:val="24"/>
                <w:szCs w:val="24"/>
              </w:rPr>
              <w:t xml:space="preserve"> services in the band 238 – 240 GHz.</w:t>
            </w:r>
          </w:p>
          <w:p w14:paraId="08764231" w14:textId="77777777" w:rsidR="003073C9" w:rsidRPr="00A9586B" w:rsidRDefault="003073C9" w:rsidP="002C11EA">
            <w:pPr>
              <w:numPr>
                <w:ilvl w:val="0"/>
                <w:numId w:val="17"/>
              </w:numPr>
              <w:spacing w:after="0"/>
              <w:jc w:val="both"/>
              <w:rPr>
                <w:rFonts w:cs="Calibri"/>
                <w:sz w:val="24"/>
                <w:szCs w:val="24"/>
              </w:rPr>
            </w:pPr>
            <w:r w:rsidRPr="00A9586B">
              <w:rPr>
                <w:rFonts w:cs="Calibri"/>
                <w:b/>
                <w:sz w:val="24"/>
                <w:szCs w:val="24"/>
              </w:rPr>
              <w:t>Radiolocation services</w:t>
            </w:r>
            <w:r w:rsidRPr="00A9586B">
              <w:rPr>
                <w:rFonts w:cs="Calibri"/>
                <w:sz w:val="24"/>
                <w:szCs w:val="24"/>
              </w:rPr>
              <w:t xml:space="preserve"> in the band 238 – 240 GHz and 241 – 248 GHz.</w:t>
            </w:r>
          </w:p>
          <w:p w14:paraId="3BD607E6" w14:textId="77777777" w:rsidR="003073C9" w:rsidRPr="00A9586B" w:rsidRDefault="003073C9" w:rsidP="002C11EA">
            <w:pPr>
              <w:numPr>
                <w:ilvl w:val="0"/>
                <w:numId w:val="17"/>
              </w:numPr>
              <w:spacing w:after="0"/>
              <w:jc w:val="both"/>
              <w:rPr>
                <w:rFonts w:cs="Calibri"/>
                <w:sz w:val="24"/>
                <w:szCs w:val="24"/>
              </w:rPr>
            </w:pPr>
            <w:r w:rsidRPr="00A9586B">
              <w:rPr>
                <w:rFonts w:cs="Calibri"/>
                <w:b/>
                <w:sz w:val="24"/>
                <w:szCs w:val="24"/>
              </w:rPr>
              <w:lastRenderedPageBreak/>
              <w:t xml:space="preserve">Fixed services </w:t>
            </w:r>
            <w:r w:rsidRPr="00A9586B">
              <w:rPr>
                <w:rFonts w:cs="Calibri"/>
                <w:sz w:val="24"/>
                <w:szCs w:val="24"/>
              </w:rPr>
              <w:t>in the band 238 – 241 GHz.</w:t>
            </w:r>
          </w:p>
          <w:p w14:paraId="1CF9E1F1" w14:textId="77777777" w:rsidR="003073C9" w:rsidRPr="00A9586B" w:rsidRDefault="003073C9" w:rsidP="002C11EA">
            <w:pPr>
              <w:numPr>
                <w:ilvl w:val="0"/>
                <w:numId w:val="17"/>
              </w:numPr>
              <w:spacing w:after="0"/>
              <w:jc w:val="both"/>
              <w:rPr>
                <w:rFonts w:cs="Calibri"/>
                <w:sz w:val="24"/>
                <w:szCs w:val="24"/>
              </w:rPr>
            </w:pPr>
            <w:r w:rsidRPr="00A9586B">
              <w:rPr>
                <w:rFonts w:cs="Calibri"/>
                <w:b/>
                <w:sz w:val="24"/>
                <w:szCs w:val="24"/>
              </w:rPr>
              <w:t xml:space="preserve">Radio Astronomy </w:t>
            </w:r>
            <w:r w:rsidRPr="00A9586B">
              <w:rPr>
                <w:rFonts w:cs="Calibri"/>
                <w:sz w:val="24"/>
                <w:szCs w:val="24"/>
              </w:rPr>
              <w:t>in the band 241 – 248 and 248 - 252 GHz.</w:t>
            </w:r>
          </w:p>
          <w:p w14:paraId="395D96CB" w14:textId="77777777" w:rsidR="003073C9" w:rsidRPr="00A9586B" w:rsidRDefault="003073C9" w:rsidP="002C11EA">
            <w:pPr>
              <w:numPr>
                <w:ilvl w:val="0"/>
                <w:numId w:val="17"/>
              </w:numPr>
              <w:spacing w:after="0"/>
              <w:jc w:val="both"/>
              <w:rPr>
                <w:rFonts w:cs="Calibri"/>
                <w:sz w:val="24"/>
                <w:szCs w:val="24"/>
              </w:rPr>
            </w:pPr>
            <w:r w:rsidRPr="00A9586B">
              <w:rPr>
                <w:rFonts w:cs="Calibri"/>
                <w:b/>
                <w:sz w:val="24"/>
                <w:szCs w:val="24"/>
              </w:rPr>
              <w:t xml:space="preserve">Fixed Satellite services </w:t>
            </w:r>
            <w:r w:rsidRPr="00A9586B">
              <w:rPr>
                <w:rFonts w:cs="Calibri"/>
                <w:sz w:val="24"/>
                <w:szCs w:val="24"/>
              </w:rPr>
              <w:t>in the band 232 – 240 GHz.</w:t>
            </w:r>
          </w:p>
          <w:p w14:paraId="566EC515" w14:textId="77777777" w:rsidR="003073C9" w:rsidRPr="00A9586B" w:rsidRDefault="003073C9" w:rsidP="002C11EA">
            <w:pPr>
              <w:spacing w:after="0"/>
              <w:jc w:val="both"/>
              <w:rPr>
                <w:rFonts w:cs="Calibri"/>
                <w:sz w:val="24"/>
                <w:szCs w:val="24"/>
              </w:rPr>
            </w:pPr>
          </w:p>
        </w:tc>
      </w:tr>
      <w:tr w:rsidR="003073C9" w:rsidRPr="00A9586B" w14:paraId="0DBC81AA" w14:textId="77777777" w:rsidTr="002C11EA">
        <w:trPr>
          <w:trHeight w:val="60"/>
        </w:trPr>
        <w:tc>
          <w:tcPr>
            <w:tcW w:w="9576" w:type="dxa"/>
            <w:gridSpan w:val="2"/>
          </w:tcPr>
          <w:p w14:paraId="719C2175" w14:textId="77777777" w:rsidR="003073C9" w:rsidRPr="00A9586B" w:rsidRDefault="003073C9" w:rsidP="002C11EA">
            <w:pPr>
              <w:spacing w:after="0"/>
              <w:rPr>
                <w:rFonts w:cs="Calibri"/>
                <w:i/>
                <w:color w:val="00B050"/>
                <w:sz w:val="24"/>
                <w:szCs w:val="24"/>
              </w:rPr>
            </w:pPr>
            <w:r w:rsidRPr="00A9586B">
              <w:rPr>
                <w:rFonts w:cs="Calibri"/>
                <w:b/>
                <w:i/>
                <w:color w:val="00B050"/>
                <w:spacing w:val="60"/>
                <w:sz w:val="24"/>
                <w:szCs w:val="24"/>
              </w:rPr>
              <w:lastRenderedPageBreak/>
              <w:t>Part G: Recommendations and Way Forward</w:t>
            </w:r>
          </w:p>
        </w:tc>
      </w:tr>
      <w:tr w:rsidR="003073C9" w:rsidRPr="00A9586B" w14:paraId="34EDE17D" w14:textId="77777777" w:rsidTr="002C11EA">
        <w:trPr>
          <w:trHeight w:val="1025"/>
        </w:trPr>
        <w:tc>
          <w:tcPr>
            <w:tcW w:w="9576" w:type="dxa"/>
            <w:gridSpan w:val="2"/>
          </w:tcPr>
          <w:p w14:paraId="13C7097D" w14:textId="4D5026B3" w:rsidR="003073C9" w:rsidRPr="00A9586B" w:rsidRDefault="003073C9" w:rsidP="002C11EA">
            <w:pPr>
              <w:rPr>
                <w:rFonts w:cs="Calibri"/>
                <w:i/>
                <w:sz w:val="24"/>
                <w:szCs w:val="24"/>
              </w:rPr>
            </w:pPr>
            <w:r w:rsidRPr="00A9586B">
              <w:rPr>
                <w:rFonts w:cs="Calibri"/>
                <w:sz w:val="24"/>
                <w:szCs w:val="24"/>
              </w:rPr>
              <w:t xml:space="preserve"> </w:t>
            </w:r>
            <w:r w:rsidR="00D35CA4">
              <w:rPr>
                <w:rFonts w:cs="Calibri"/>
                <w:i/>
                <w:sz w:val="24"/>
                <w:szCs w:val="24"/>
              </w:rPr>
              <w:t>EACO</w:t>
            </w:r>
            <w:r w:rsidRPr="00A9586B">
              <w:rPr>
                <w:rFonts w:cs="Calibri"/>
                <w:i/>
                <w:sz w:val="24"/>
                <w:szCs w:val="24"/>
              </w:rPr>
              <w:t xml:space="preserve"> invites </w:t>
            </w:r>
            <w:r w:rsidR="00D35CA4">
              <w:rPr>
                <w:rFonts w:cs="Calibri"/>
                <w:i/>
                <w:sz w:val="24"/>
                <w:szCs w:val="24"/>
              </w:rPr>
              <w:t>member states</w:t>
            </w:r>
            <w:r w:rsidRPr="00A9586B">
              <w:rPr>
                <w:rFonts w:cs="Calibri"/>
                <w:i/>
                <w:sz w:val="24"/>
                <w:szCs w:val="24"/>
              </w:rPr>
              <w:t xml:space="preserve"> to:</w:t>
            </w:r>
          </w:p>
          <w:p w14:paraId="55C3B2C3" w14:textId="77777777" w:rsidR="003073C9" w:rsidRPr="00A9586B" w:rsidRDefault="003073C9" w:rsidP="002C11EA">
            <w:pPr>
              <w:numPr>
                <w:ilvl w:val="0"/>
                <w:numId w:val="19"/>
              </w:numPr>
              <w:rPr>
                <w:rFonts w:cs="Calibri"/>
                <w:i/>
                <w:sz w:val="24"/>
                <w:szCs w:val="24"/>
              </w:rPr>
            </w:pPr>
            <w:r w:rsidRPr="00A9586B">
              <w:rPr>
                <w:rFonts w:cs="Calibri"/>
                <w:i/>
                <w:sz w:val="24"/>
                <w:szCs w:val="24"/>
              </w:rPr>
              <w:t xml:space="preserve">Continue active participation in ongoing studies with the intent of positively influencing the outcome of the studies. </w:t>
            </w:r>
          </w:p>
          <w:p w14:paraId="4FADBF13" w14:textId="77777777" w:rsidR="003073C9" w:rsidRPr="00A9586B" w:rsidRDefault="003073C9" w:rsidP="002C11EA">
            <w:pPr>
              <w:numPr>
                <w:ilvl w:val="0"/>
                <w:numId w:val="19"/>
              </w:numPr>
              <w:rPr>
                <w:rFonts w:cs="Calibri"/>
                <w:i/>
                <w:sz w:val="24"/>
                <w:szCs w:val="24"/>
              </w:rPr>
            </w:pPr>
            <w:r w:rsidRPr="00A9586B">
              <w:rPr>
                <w:rFonts w:cs="Calibri"/>
                <w:i/>
                <w:sz w:val="24"/>
                <w:szCs w:val="24"/>
              </w:rPr>
              <w:t xml:space="preserve">Follow-up the studies under this agenda item to review the existing primary allocation to the EESS (passive) in the frequency range 231.5 – 252 GHz in order to </w:t>
            </w:r>
            <w:proofErr w:type="spellStart"/>
            <w:r w:rsidRPr="00A9586B">
              <w:rPr>
                <w:rFonts w:cs="Calibri"/>
                <w:i/>
                <w:sz w:val="24"/>
                <w:szCs w:val="24"/>
              </w:rPr>
              <w:t>analyse</w:t>
            </w:r>
            <w:proofErr w:type="spellEnd"/>
            <w:r w:rsidRPr="00A9586B">
              <w:rPr>
                <w:rFonts w:cs="Calibri"/>
                <w:i/>
                <w:sz w:val="24"/>
                <w:szCs w:val="24"/>
              </w:rPr>
              <w:t xml:space="preserve"> if these allocations are aligned with the observation requirements of passive microwave sensors.</w:t>
            </w:r>
          </w:p>
          <w:p w14:paraId="57882CBE" w14:textId="77777777" w:rsidR="003073C9" w:rsidRPr="00A9586B" w:rsidRDefault="003073C9" w:rsidP="002C11EA">
            <w:pPr>
              <w:numPr>
                <w:ilvl w:val="0"/>
                <w:numId w:val="19"/>
              </w:numPr>
              <w:rPr>
                <w:rFonts w:cs="Calibri"/>
                <w:i/>
                <w:sz w:val="24"/>
                <w:szCs w:val="24"/>
              </w:rPr>
            </w:pPr>
            <w:r w:rsidRPr="00A9586B">
              <w:rPr>
                <w:rFonts w:cs="Calibri"/>
                <w:i/>
                <w:sz w:val="24"/>
                <w:szCs w:val="24"/>
              </w:rPr>
              <w:t xml:space="preserve">Ensure the any adjustment to EESS (passive) satisfies the protection criteria of RAS services in the bands 241 – 248 GHz and 248 – 252 GHz, as described in the Recommendation ITU-R RA. 769. </w:t>
            </w:r>
          </w:p>
          <w:p w14:paraId="1E2963FF" w14:textId="77777777" w:rsidR="003073C9" w:rsidRPr="00A9586B" w:rsidRDefault="003073C9" w:rsidP="002C11EA">
            <w:pPr>
              <w:numPr>
                <w:ilvl w:val="0"/>
                <w:numId w:val="19"/>
              </w:numPr>
              <w:rPr>
                <w:rFonts w:cs="Calibri"/>
                <w:sz w:val="24"/>
                <w:szCs w:val="24"/>
              </w:rPr>
            </w:pPr>
            <w:r w:rsidRPr="00A9586B">
              <w:rPr>
                <w:rFonts w:cs="Calibri"/>
                <w:i/>
                <w:sz w:val="24"/>
                <w:szCs w:val="24"/>
              </w:rPr>
              <w:t xml:space="preserve">Study the impact that any change to the EESS (passive) allocation in the band 231.5 – 252 GHz might have on any other primary allocation in the band 231.5 – 252 GHz. </w:t>
            </w:r>
          </w:p>
        </w:tc>
      </w:tr>
      <w:tr w:rsidR="003073C9" w:rsidRPr="00A9586B" w14:paraId="30CFC719" w14:textId="77777777" w:rsidTr="002C11EA">
        <w:trPr>
          <w:trHeight w:hRule="exact" w:val="253"/>
        </w:trPr>
        <w:tc>
          <w:tcPr>
            <w:tcW w:w="9576" w:type="dxa"/>
            <w:gridSpan w:val="2"/>
          </w:tcPr>
          <w:p w14:paraId="24F04690" w14:textId="77777777" w:rsidR="003073C9" w:rsidRPr="00A9586B" w:rsidRDefault="003073C9" w:rsidP="002C11EA">
            <w:pPr>
              <w:rPr>
                <w:rFonts w:cs="Calibri"/>
                <w:sz w:val="24"/>
                <w:szCs w:val="24"/>
              </w:rPr>
            </w:pPr>
            <w:r w:rsidRPr="00A9586B">
              <w:rPr>
                <w:rFonts w:cs="Calibri"/>
                <w:b/>
                <w:i/>
                <w:color w:val="00B050"/>
                <w:spacing w:val="60"/>
                <w:sz w:val="24"/>
                <w:szCs w:val="24"/>
              </w:rPr>
              <w:t>Part H: Regional Groups Position</w:t>
            </w:r>
          </w:p>
        </w:tc>
      </w:tr>
      <w:tr w:rsidR="003073C9" w:rsidRPr="00A9586B" w14:paraId="579BF762" w14:textId="77777777" w:rsidTr="002C11EA">
        <w:trPr>
          <w:trHeight w:val="872"/>
        </w:trPr>
        <w:tc>
          <w:tcPr>
            <w:tcW w:w="1458" w:type="dxa"/>
            <w:vAlign w:val="center"/>
          </w:tcPr>
          <w:p w14:paraId="2E15DA2F" w14:textId="77777777" w:rsidR="003073C9" w:rsidRPr="00A9586B" w:rsidRDefault="003073C9" w:rsidP="002C11EA">
            <w:pPr>
              <w:jc w:val="center"/>
              <w:rPr>
                <w:rFonts w:cs="Calibri"/>
                <w:b/>
                <w:bCs/>
                <w:i/>
                <w:sz w:val="24"/>
                <w:szCs w:val="24"/>
              </w:rPr>
            </w:pPr>
            <w:r w:rsidRPr="00A9586B">
              <w:rPr>
                <w:rFonts w:cs="Calibri"/>
                <w:b/>
                <w:bCs/>
                <w:i/>
                <w:sz w:val="24"/>
                <w:szCs w:val="24"/>
              </w:rPr>
              <w:t>RCC</w:t>
            </w:r>
          </w:p>
        </w:tc>
        <w:tc>
          <w:tcPr>
            <w:tcW w:w="8118" w:type="dxa"/>
            <w:vAlign w:val="center"/>
          </w:tcPr>
          <w:p w14:paraId="175FF739" w14:textId="77777777" w:rsidR="003073C9" w:rsidRPr="00A9586B" w:rsidRDefault="003073C9" w:rsidP="002C11EA">
            <w:pPr>
              <w:spacing w:before="120" w:after="120" w:line="240" w:lineRule="auto"/>
              <w:jc w:val="both"/>
              <w:rPr>
                <w:rFonts w:cs="Calibri"/>
                <w:i/>
                <w:sz w:val="24"/>
                <w:szCs w:val="24"/>
              </w:rPr>
            </w:pPr>
            <w:r w:rsidRPr="00A9586B">
              <w:rPr>
                <w:rFonts w:cs="Calibri"/>
                <w:i/>
                <w:sz w:val="24"/>
                <w:szCs w:val="24"/>
              </w:rPr>
              <w:t>The RCC Administrations support the development of conditions for spectrum sharing between EESS (passive) and existing and future systems of active services both in the frequency band 231.5-252 GHz and in the adjacent frequency bands on the basis of compatibility studies between passive services in that frequency band.</w:t>
            </w:r>
          </w:p>
        </w:tc>
      </w:tr>
      <w:tr w:rsidR="003073C9" w:rsidRPr="00A9586B" w14:paraId="6E387636" w14:textId="77777777" w:rsidTr="002C11EA">
        <w:trPr>
          <w:trHeight w:val="80"/>
        </w:trPr>
        <w:tc>
          <w:tcPr>
            <w:tcW w:w="1458" w:type="dxa"/>
            <w:vAlign w:val="center"/>
          </w:tcPr>
          <w:p w14:paraId="156E54DA" w14:textId="77777777" w:rsidR="003073C9" w:rsidRPr="00A9586B" w:rsidRDefault="003073C9" w:rsidP="002C11EA">
            <w:pPr>
              <w:jc w:val="center"/>
              <w:rPr>
                <w:rFonts w:cs="Calibri"/>
                <w:b/>
                <w:bCs/>
                <w:i/>
                <w:sz w:val="24"/>
                <w:szCs w:val="24"/>
              </w:rPr>
            </w:pPr>
            <w:r w:rsidRPr="00A9586B">
              <w:rPr>
                <w:rFonts w:cs="Calibri"/>
                <w:b/>
                <w:bCs/>
                <w:i/>
                <w:sz w:val="24"/>
                <w:szCs w:val="24"/>
              </w:rPr>
              <w:t>CEPT</w:t>
            </w:r>
          </w:p>
        </w:tc>
        <w:tc>
          <w:tcPr>
            <w:tcW w:w="8118" w:type="dxa"/>
            <w:vAlign w:val="center"/>
          </w:tcPr>
          <w:p w14:paraId="44B9F866" w14:textId="77777777" w:rsidR="003073C9" w:rsidRPr="00A9586B" w:rsidRDefault="003073C9" w:rsidP="002C11EA">
            <w:pPr>
              <w:rPr>
                <w:rFonts w:cs="Calibri"/>
                <w:i/>
                <w:sz w:val="24"/>
                <w:szCs w:val="24"/>
              </w:rPr>
            </w:pPr>
            <w:r w:rsidRPr="00A9586B">
              <w:rPr>
                <w:rFonts w:cs="Calibri"/>
                <w:i/>
                <w:sz w:val="24"/>
                <w:szCs w:val="24"/>
              </w:rPr>
              <w:t>CEPT supports to cover relevant requirements of passive microwave sensor measurements within the frequency range 231.5-252 GHz with frequency allocations to EESS (passive) without unduly constraining the other primary services currently allocated in this frequency range.</w:t>
            </w:r>
          </w:p>
          <w:p w14:paraId="2D7B4CA7" w14:textId="77777777" w:rsidR="003073C9" w:rsidRPr="00A9586B" w:rsidRDefault="003073C9" w:rsidP="002C11EA">
            <w:pPr>
              <w:rPr>
                <w:rFonts w:cs="Calibri"/>
                <w:i/>
                <w:sz w:val="24"/>
                <w:szCs w:val="24"/>
              </w:rPr>
            </w:pPr>
            <w:r w:rsidRPr="00A9586B">
              <w:rPr>
                <w:rFonts w:cs="Calibri"/>
                <w:i/>
                <w:sz w:val="24"/>
                <w:szCs w:val="24"/>
              </w:rPr>
              <w:t>In line with the scientific observation requirements identified so far, CEPT supports the assessment of the frequency bands 239.2-242.2 GHz and 244.2-247.2 GHz for a possible primary allocation to the EESS (passive), including the relevant sharing and compatibility studies with the services to which these and the adjacent bands are already allocated.</w:t>
            </w:r>
          </w:p>
        </w:tc>
      </w:tr>
      <w:tr w:rsidR="003073C9" w:rsidRPr="00A9586B" w14:paraId="40AEA8D9" w14:textId="77777777" w:rsidTr="002C11EA">
        <w:trPr>
          <w:trHeight w:val="80"/>
        </w:trPr>
        <w:tc>
          <w:tcPr>
            <w:tcW w:w="1458" w:type="dxa"/>
            <w:vAlign w:val="center"/>
          </w:tcPr>
          <w:p w14:paraId="071BE3C4" w14:textId="77777777" w:rsidR="003073C9" w:rsidRPr="00A9586B" w:rsidRDefault="003073C9" w:rsidP="002C11EA">
            <w:pPr>
              <w:jc w:val="center"/>
              <w:rPr>
                <w:rFonts w:cs="Calibri"/>
                <w:b/>
                <w:bCs/>
                <w:i/>
                <w:sz w:val="24"/>
                <w:szCs w:val="24"/>
              </w:rPr>
            </w:pPr>
            <w:r w:rsidRPr="00A9586B">
              <w:rPr>
                <w:rFonts w:cs="Calibri"/>
                <w:b/>
                <w:bCs/>
                <w:i/>
                <w:sz w:val="24"/>
                <w:szCs w:val="24"/>
              </w:rPr>
              <w:t>CITEL</w:t>
            </w:r>
          </w:p>
        </w:tc>
        <w:tc>
          <w:tcPr>
            <w:tcW w:w="8118" w:type="dxa"/>
            <w:vAlign w:val="center"/>
          </w:tcPr>
          <w:p w14:paraId="53FD8A47" w14:textId="77777777" w:rsidR="003073C9" w:rsidRPr="00A9586B" w:rsidRDefault="003073C9" w:rsidP="002C11EA">
            <w:pPr>
              <w:jc w:val="both"/>
              <w:rPr>
                <w:rFonts w:cs="Calibri"/>
                <w:i/>
                <w:sz w:val="24"/>
                <w:szCs w:val="24"/>
              </w:rPr>
            </w:pPr>
            <w:r w:rsidRPr="00A9586B">
              <w:rPr>
                <w:rFonts w:cs="Calibri"/>
                <w:i/>
                <w:sz w:val="24"/>
                <w:szCs w:val="24"/>
              </w:rPr>
              <w:t xml:space="preserve">CITEL administration supports studies to review the existing EESS(passive) allocations and consider possible adjustments to existing allocations or new allocations to the EESS(passive) within the frequency range 231.5 - 252 GHz in </w:t>
            </w:r>
            <w:r w:rsidRPr="00A9586B">
              <w:rPr>
                <w:rFonts w:cs="Calibri"/>
                <w:i/>
                <w:sz w:val="24"/>
                <w:szCs w:val="24"/>
              </w:rPr>
              <w:lastRenderedPageBreak/>
              <w:t>accordance with Resolution 662 (WRC 19) without unduly constraining the primary services currently allocated</w:t>
            </w:r>
          </w:p>
        </w:tc>
      </w:tr>
      <w:tr w:rsidR="003073C9" w:rsidRPr="00A9586B" w14:paraId="467D72B4" w14:textId="77777777" w:rsidTr="002C11EA">
        <w:trPr>
          <w:trHeight w:val="80"/>
        </w:trPr>
        <w:tc>
          <w:tcPr>
            <w:tcW w:w="1458" w:type="dxa"/>
            <w:vAlign w:val="center"/>
          </w:tcPr>
          <w:p w14:paraId="07906B9F" w14:textId="77777777" w:rsidR="003073C9" w:rsidRPr="00A9586B" w:rsidRDefault="003073C9" w:rsidP="002C11EA">
            <w:pPr>
              <w:jc w:val="center"/>
              <w:rPr>
                <w:rFonts w:cs="Calibri"/>
                <w:b/>
                <w:bCs/>
                <w:i/>
                <w:sz w:val="24"/>
                <w:szCs w:val="24"/>
              </w:rPr>
            </w:pPr>
            <w:r w:rsidRPr="00A9586B">
              <w:rPr>
                <w:rFonts w:cs="Calibri"/>
                <w:b/>
                <w:bCs/>
                <w:i/>
                <w:sz w:val="24"/>
                <w:szCs w:val="24"/>
              </w:rPr>
              <w:lastRenderedPageBreak/>
              <w:t>ASMG</w:t>
            </w:r>
          </w:p>
        </w:tc>
        <w:tc>
          <w:tcPr>
            <w:tcW w:w="8118" w:type="dxa"/>
            <w:vAlign w:val="center"/>
          </w:tcPr>
          <w:p w14:paraId="4A7D5D9F" w14:textId="77777777" w:rsidR="003073C9" w:rsidRPr="00A9586B" w:rsidRDefault="003073C9" w:rsidP="002C11EA">
            <w:pPr>
              <w:rPr>
                <w:rFonts w:cs="Calibri"/>
                <w:i/>
                <w:sz w:val="24"/>
                <w:szCs w:val="24"/>
              </w:rPr>
            </w:pPr>
            <w:r w:rsidRPr="00A9586B">
              <w:rPr>
                <w:rFonts w:cs="Calibri"/>
                <w:i/>
                <w:sz w:val="24"/>
                <w:szCs w:val="24"/>
              </w:rPr>
              <w:t>ASMG administration support the preliminary studies of the Earth Exploration (Passive) satellite service in the band 231.5 252 GHz without imposing any restrictions on existing services.</w:t>
            </w:r>
          </w:p>
        </w:tc>
      </w:tr>
      <w:tr w:rsidR="003073C9" w:rsidRPr="00A9586B" w14:paraId="5F0E593C" w14:textId="77777777" w:rsidTr="002C11EA">
        <w:trPr>
          <w:trHeight w:val="80"/>
        </w:trPr>
        <w:tc>
          <w:tcPr>
            <w:tcW w:w="1458" w:type="dxa"/>
            <w:vAlign w:val="center"/>
          </w:tcPr>
          <w:p w14:paraId="55A64A57" w14:textId="77777777" w:rsidR="003073C9" w:rsidRPr="00A9586B" w:rsidRDefault="003073C9" w:rsidP="002C11EA">
            <w:pPr>
              <w:jc w:val="center"/>
              <w:rPr>
                <w:rFonts w:cs="Calibri"/>
                <w:b/>
                <w:bCs/>
                <w:i/>
                <w:sz w:val="24"/>
                <w:szCs w:val="24"/>
              </w:rPr>
            </w:pPr>
            <w:r w:rsidRPr="00A9586B">
              <w:rPr>
                <w:rFonts w:cs="Calibri"/>
                <w:b/>
                <w:bCs/>
                <w:i/>
                <w:sz w:val="24"/>
                <w:szCs w:val="24"/>
              </w:rPr>
              <w:t>APT</w:t>
            </w:r>
          </w:p>
        </w:tc>
        <w:tc>
          <w:tcPr>
            <w:tcW w:w="8118" w:type="dxa"/>
            <w:vAlign w:val="center"/>
          </w:tcPr>
          <w:p w14:paraId="677EDB79" w14:textId="77777777" w:rsidR="003073C9" w:rsidRPr="00A9586B" w:rsidRDefault="003073C9" w:rsidP="002C11EA">
            <w:pPr>
              <w:spacing w:before="120" w:after="120"/>
              <w:jc w:val="both"/>
              <w:rPr>
                <w:rFonts w:cs="Calibri"/>
                <w:i/>
                <w:sz w:val="24"/>
                <w:szCs w:val="24"/>
              </w:rPr>
            </w:pPr>
            <w:r w:rsidRPr="00A9586B">
              <w:rPr>
                <w:rFonts w:cs="Calibri"/>
                <w:i/>
                <w:sz w:val="24"/>
                <w:szCs w:val="24"/>
              </w:rPr>
              <w:t xml:space="preserve">APT Members support the consideration of possible adjustments of the existing or possible new primary frequency allocations to EESS (passive) in the frequency range 231.5-252 GHz in accordance with Resolution 662 (WRC-19) subject to the outcome of the study results. </w:t>
            </w:r>
          </w:p>
          <w:p w14:paraId="08B69211" w14:textId="77777777" w:rsidR="003073C9" w:rsidRPr="00A9586B" w:rsidRDefault="003073C9" w:rsidP="002C11EA">
            <w:pPr>
              <w:spacing w:before="120" w:after="120"/>
              <w:jc w:val="both"/>
              <w:rPr>
                <w:rFonts w:cs="Calibri"/>
                <w:i/>
                <w:sz w:val="24"/>
                <w:szCs w:val="24"/>
              </w:rPr>
            </w:pPr>
            <w:r w:rsidRPr="00A9586B">
              <w:rPr>
                <w:rFonts w:cs="Calibri"/>
                <w:i/>
                <w:sz w:val="24"/>
                <w:szCs w:val="24"/>
              </w:rPr>
              <w:t>Any changes to the EESS (passive) allocations in the frequency range 231.5-252 GHz shall not adversely affect the operation of other primary services allocated in this frequency band</w:t>
            </w:r>
          </w:p>
        </w:tc>
      </w:tr>
    </w:tbl>
    <w:p w14:paraId="44824271" w14:textId="77777777" w:rsidR="003073C9" w:rsidRPr="00A9586B" w:rsidRDefault="003073C9" w:rsidP="003073C9">
      <w:pPr>
        <w:rPr>
          <w:rFonts w:cs="Calibri"/>
          <w:sz w:val="24"/>
          <w:szCs w:val="24"/>
        </w:rPr>
      </w:pPr>
    </w:p>
    <w:p w14:paraId="57B1DA49" w14:textId="77777777" w:rsidR="00FB3859" w:rsidRPr="00734046" w:rsidRDefault="00FB3859" w:rsidP="003073C9">
      <w:pPr>
        <w:jc w:val="center"/>
        <w:rPr>
          <w:rFonts w:ascii="Bookman Old Style" w:hAnsi="Bookman Old Style" w:cs="Calibri"/>
          <w:sz w:val="24"/>
          <w:szCs w:val="24"/>
        </w:rPr>
      </w:pPr>
    </w:p>
    <w:sectPr w:rsidR="00FB3859" w:rsidRPr="00734046" w:rsidSect="00810933">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4E"/>
    <w:multiLevelType w:val="hybridMultilevel"/>
    <w:tmpl w:val="5C3826A0"/>
    <w:lvl w:ilvl="0" w:tplc="84AE72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6EC297D"/>
    <w:multiLevelType w:val="hybridMultilevel"/>
    <w:tmpl w:val="C60AF342"/>
    <w:lvl w:ilvl="0" w:tplc="CED079DE">
      <w:start w:val="1"/>
      <w:numFmt w:val="lowerRoman"/>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3353E"/>
    <w:multiLevelType w:val="hybridMultilevel"/>
    <w:tmpl w:val="75A85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1931E4"/>
    <w:multiLevelType w:val="hybridMultilevel"/>
    <w:tmpl w:val="7FE01288"/>
    <w:lvl w:ilvl="0" w:tplc="910E5208">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5C61B6"/>
    <w:multiLevelType w:val="hybridMultilevel"/>
    <w:tmpl w:val="F5660610"/>
    <w:lvl w:ilvl="0" w:tplc="6F78D3E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50289"/>
    <w:multiLevelType w:val="hybridMultilevel"/>
    <w:tmpl w:val="517EDF1C"/>
    <w:lvl w:ilvl="0" w:tplc="ED0CA4A4">
      <w:start w:val="1"/>
      <w:numFmt w:val="lowerLetter"/>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03234"/>
    <w:multiLevelType w:val="hybridMultilevel"/>
    <w:tmpl w:val="63DC4B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2B2ADA"/>
    <w:multiLevelType w:val="hybridMultilevel"/>
    <w:tmpl w:val="B3BEF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B9508F1"/>
    <w:multiLevelType w:val="hybridMultilevel"/>
    <w:tmpl w:val="5F76A822"/>
    <w:lvl w:ilvl="0" w:tplc="FD487D04">
      <w:start w:val="6"/>
      <w:numFmt w:val="bullet"/>
      <w:lvlText w:val="-"/>
      <w:lvlJc w:val="left"/>
      <w:pPr>
        <w:ind w:left="664" w:hanging="360"/>
      </w:pPr>
      <w:rPr>
        <w:rFonts w:ascii="Calibri" w:eastAsia="Calibr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9" w15:restartNumberingAfterBreak="0">
    <w:nsid w:val="3D094B3A"/>
    <w:multiLevelType w:val="hybridMultilevel"/>
    <w:tmpl w:val="CC4ADE5A"/>
    <w:lvl w:ilvl="0" w:tplc="142C1886">
      <w:start w:val="6"/>
      <w:numFmt w:val="bullet"/>
      <w:lvlText w:val="-"/>
      <w:lvlJc w:val="left"/>
      <w:pPr>
        <w:ind w:left="664" w:hanging="360"/>
      </w:pPr>
      <w:rPr>
        <w:rFonts w:ascii="Calibri" w:eastAsia="Calibr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0" w15:restartNumberingAfterBreak="0">
    <w:nsid w:val="457903D9"/>
    <w:multiLevelType w:val="hybridMultilevel"/>
    <w:tmpl w:val="14648F26"/>
    <w:lvl w:ilvl="0" w:tplc="472CB618">
      <w:start w:val="1"/>
      <w:numFmt w:val="lowerRoman"/>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639A8"/>
    <w:multiLevelType w:val="hybridMultilevel"/>
    <w:tmpl w:val="49BAD0B6"/>
    <w:lvl w:ilvl="0" w:tplc="0809000F">
      <w:start w:val="1"/>
      <w:numFmt w:val="decimal"/>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D204A"/>
    <w:multiLevelType w:val="hybridMultilevel"/>
    <w:tmpl w:val="3B721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04778"/>
    <w:multiLevelType w:val="hybridMultilevel"/>
    <w:tmpl w:val="3E64E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89C1499"/>
    <w:multiLevelType w:val="hybridMultilevel"/>
    <w:tmpl w:val="C79C48DA"/>
    <w:lvl w:ilvl="0" w:tplc="84AE72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653B64B3"/>
    <w:multiLevelType w:val="hybridMultilevel"/>
    <w:tmpl w:val="1CA4437E"/>
    <w:lvl w:ilvl="0" w:tplc="A01E3BEE">
      <w:start w:val="1"/>
      <w:numFmt w:val="lowerLetter"/>
      <w:lvlText w:val="%1)"/>
      <w:lvlJc w:val="left"/>
      <w:pPr>
        <w:ind w:left="720" w:hanging="360"/>
      </w:pPr>
      <w:rPr>
        <w:rFonts w:hint="default"/>
        <w:b/>
        <w:bCs/>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38366A"/>
    <w:multiLevelType w:val="hybridMultilevel"/>
    <w:tmpl w:val="6B5E94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DD7233E"/>
    <w:multiLevelType w:val="hybridMultilevel"/>
    <w:tmpl w:val="39A25666"/>
    <w:lvl w:ilvl="0" w:tplc="43269CEA">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D7D0A"/>
    <w:multiLevelType w:val="hybridMultilevel"/>
    <w:tmpl w:val="F8FC8D0A"/>
    <w:lvl w:ilvl="0" w:tplc="43269CEA">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18"/>
  </w:num>
  <w:num w:numId="5">
    <w:abstractNumId w:val="3"/>
  </w:num>
  <w:num w:numId="6">
    <w:abstractNumId w:val="17"/>
  </w:num>
  <w:num w:numId="7">
    <w:abstractNumId w:val="15"/>
  </w:num>
  <w:num w:numId="8">
    <w:abstractNumId w:val="9"/>
  </w:num>
  <w:num w:numId="9">
    <w:abstractNumId w:val="8"/>
  </w:num>
  <w:num w:numId="10">
    <w:abstractNumId w:val="11"/>
  </w:num>
  <w:num w:numId="11">
    <w:abstractNumId w:val="13"/>
  </w:num>
  <w:num w:numId="12">
    <w:abstractNumId w:val="14"/>
  </w:num>
  <w:num w:numId="13">
    <w:abstractNumId w:val="2"/>
  </w:num>
  <w:num w:numId="14">
    <w:abstractNumId w:val="0"/>
  </w:num>
  <w:num w:numId="15">
    <w:abstractNumId w:val="12"/>
  </w:num>
  <w:num w:numId="16">
    <w:abstractNumId w:val="4"/>
  </w:num>
  <w:num w:numId="17">
    <w:abstractNumId w:val="16"/>
  </w:num>
  <w:num w:numId="18">
    <w:abstractNumId w:val="7"/>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BE"/>
    <w:rsid w:val="0003323C"/>
    <w:rsid w:val="00037BBF"/>
    <w:rsid w:val="00056762"/>
    <w:rsid w:val="000A397C"/>
    <w:rsid w:val="000A3DA9"/>
    <w:rsid w:val="000B5F88"/>
    <w:rsid w:val="000C6ABF"/>
    <w:rsid w:val="0010461E"/>
    <w:rsid w:val="0010789C"/>
    <w:rsid w:val="00110A85"/>
    <w:rsid w:val="00113D4A"/>
    <w:rsid w:val="00125287"/>
    <w:rsid w:val="00125AE6"/>
    <w:rsid w:val="0018768B"/>
    <w:rsid w:val="0019044F"/>
    <w:rsid w:val="001E3BEA"/>
    <w:rsid w:val="002052AB"/>
    <w:rsid w:val="00206B75"/>
    <w:rsid w:val="002073D5"/>
    <w:rsid w:val="002121BA"/>
    <w:rsid w:val="0022320A"/>
    <w:rsid w:val="00233904"/>
    <w:rsid w:val="002507A2"/>
    <w:rsid w:val="002521C8"/>
    <w:rsid w:val="00273304"/>
    <w:rsid w:val="002B35F3"/>
    <w:rsid w:val="002B6A1F"/>
    <w:rsid w:val="002B79E8"/>
    <w:rsid w:val="002C3E5B"/>
    <w:rsid w:val="002E4C65"/>
    <w:rsid w:val="002F2C69"/>
    <w:rsid w:val="00305D76"/>
    <w:rsid w:val="003073C9"/>
    <w:rsid w:val="00311FD7"/>
    <w:rsid w:val="00321AC9"/>
    <w:rsid w:val="00332112"/>
    <w:rsid w:val="0033701C"/>
    <w:rsid w:val="00340750"/>
    <w:rsid w:val="00351868"/>
    <w:rsid w:val="00351B8F"/>
    <w:rsid w:val="00376A8F"/>
    <w:rsid w:val="003D6091"/>
    <w:rsid w:val="003D7292"/>
    <w:rsid w:val="003E6606"/>
    <w:rsid w:val="003F3853"/>
    <w:rsid w:val="003F3BA9"/>
    <w:rsid w:val="00400D6A"/>
    <w:rsid w:val="004066C5"/>
    <w:rsid w:val="00410611"/>
    <w:rsid w:val="00420F3F"/>
    <w:rsid w:val="00451218"/>
    <w:rsid w:val="00457C6F"/>
    <w:rsid w:val="00470C28"/>
    <w:rsid w:val="00491157"/>
    <w:rsid w:val="004A2459"/>
    <w:rsid w:val="004E0CB2"/>
    <w:rsid w:val="004E3111"/>
    <w:rsid w:val="004E4D5F"/>
    <w:rsid w:val="00500D13"/>
    <w:rsid w:val="00507E48"/>
    <w:rsid w:val="005107B9"/>
    <w:rsid w:val="005311A1"/>
    <w:rsid w:val="00562CEC"/>
    <w:rsid w:val="0057634F"/>
    <w:rsid w:val="00577467"/>
    <w:rsid w:val="005A1DB5"/>
    <w:rsid w:val="005B1CE6"/>
    <w:rsid w:val="005B3E95"/>
    <w:rsid w:val="005D121E"/>
    <w:rsid w:val="005D2254"/>
    <w:rsid w:val="005E0F7F"/>
    <w:rsid w:val="005E2ED6"/>
    <w:rsid w:val="005E3789"/>
    <w:rsid w:val="005E7B07"/>
    <w:rsid w:val="00611768"/>
    <w:rsid w:val="006144B5"/>
    <w:rsid w:val="0066007A"/>
    <w:rsid w:val="00663DC4"/>
    <w:rsid w:val="006D26B2"/>
    <w:rsid w:val="006D68F5"/>
    <w:rsid w:val="006E3113"/>
    <w:rsid w:val="006F3678"/>
    <w:rsid w:val="0072480A"/>
    <w:rsid w:val="00734046"/>
    <w:rsid w:val="00744D33"/>
    <w:rsid w:val="0074517C"/>
    <w:rsid w:val="00752996"/>
    <w:rsid w:val="007616F1"/>
    <w:rsid w:val="00766E55"/>
    <w:rsid w:val="00781916"/>
    <w:rsid w:val="00796030"/>
    <w:rsid w:val="007A0046"/>
    <w:rsid w:val="007B15FB"/>
    <w:rsid w:val="007B2853"/>
    <w:rsid w:val="007B2A92"/>
    <w:rsid w:val="007C50A0"/>
    <w:rsid w:val="007D0459"/>
    <w:rsid w:val="007F2A49"/>
    <w:rsid w:val="008107C8"/>
    <w:rsid w:val="00810933"/>
    <w:rsid w:val="008902C2"/>
    <w:rsid w:val="008C0FF8"/>
    <w:rsid w:val="008C3B61"/>
    <w:rsid w:val="008C5080"/>
    <w:rsid w:val="008E107D"/>
    <w:rsid w:val="009075DE"/>
    <w:rsid w:val="0091553F"/>
    <w:rsid w:val="0092533E"/>
    <w:rsid w:val="00937000"/>
    <w:rsid w:val="00943251"/>
    <w:rsid w:val="00947B87"/>
    <w:rsid w:val="00951B3D"/>
    <w:rsid w:val="009550C1"/>
    <w:rsid w:val="00962633"/>
    <w:rsid w:val="00966933"/>
    <w:rsid w:val="00967501"/>
    <w:rsid w:val="009755BE"/>
    <w:rsid w:val="00983DA8"/>
    <w:rsid w:val="009B6850"/>
    <w:rsid w:val="009D0FA6"/>
    <w:rsid w:val="009F7C28"/>
    <w:rsid w:val="00A30B14"/>
    <w:rsid w:val="00A315DF"/>
    <w:rsid w:val="00A54F0A"/>
    <w:rsid w:val="00A67C3B"/>
    <w:rsid w:val="00A67FF9"/>
    <w:rsid w:val="00A71AB0"/>
    <w:rsid w:val="00A81040"/>
    <w:rsid w:val="00A83834"/>
    <w:rsid w:val="00A9095B"/>
    <w:rsid w:val="00AD0BD8"/>
    <w:rsid w:val="00AD411D"/>
    <w:rsid w:val="00AF1735"/>
    <w:rsid w:val="00AF68E7"/>
    <w:rsid w:val="00AF7F92"/>
    <w:rsid w:val="00B2349F"/>
    <w:rsid w:val="00B332A0"/>
    <w:rsid w:val="00B50BB4"/>
    <w:rsid w:val="00B76259"/>
    <w:rsid w:val="00B824A6"/>
    <w:rsid w:val="00B91E7D"/>
    <w:rsid w:val="00BA3C72"/>
    <w:rsid w:val="00BA7DF9"/>
    <w:rsid w:val="00C0173E"/>
    <w:rsid w:val="00C15421"/>
    <w:rsid w:val="00C55310"/>
    <w:rsid w:val="00C6656A"/>
    <w:rsid w:val="00C763D5"/>
    <w:rsid w:val="00C87103"/>
    <w:rsid w:val="00C92B6C"/>
    <w:rsid w:val="00CB6A24"/>
    <w:rsid w:val="00CC260A"/>
    <w:rsid w:val="00CD4A1A"/>
    <w:rsid w:val="00CD535A"/>
    <w:rsid w:val="00CD5A15"/>
    <w:rsid w:val="00D3299D"/>
    <w:rsid w:val="00D341F4"/>
    <w:rsid w:val="00D35CA4"/>
    <w:rsid w:val="00D74D0D"/>
    <w:rsid w:val="00D8284A"/>
    <w:rsid w:val="00DA75F0"/>
    <w:rsid w:val="00DB0AD2"/>
    <w:rsid w:val="00DD1B06"/>
    <w:rsid w:val="00DE05D5"/>
    <w:rsid w:val="00DE2965"/>
    <w:rsid w:val="00E152D3"/>
    <w:rsid w:val="00E17753"/>
    <w:rsid w:val="00E3015D"/>
    <w:rsid w:val="00E333B2"/>
    <w:rsid w:val="00E37983"/>
    <w:rsid w:val="00E43ED3"/>
    <w:rsid w:val="00E550B5"/>
    <w:rsid w:val="00E6054A"/>
    <w:rsid w:val="00EA35B2"/>
    <w:rsid w:val="00EC3AE7"/>
    <w:rsid w:val="00F06C29"/>
    <w:rsid w:val="00F27F7B"/>
    <w:rsid w:val="00F4638F"/>
    <w:rsid w:val="00F56E3D"/>
    <w:rsid w:val="00F576AE"/>
    <w:rsid w:val="00F63B6E"/>
    <w:rsid w:val="00F86E16"/>
    <w:rsid w:val="00F86FE0"/>
    <w:rsid w:val="00F9250C"/>
    <w:rsid w:val="00FA6FDB"/>
    <w:rsid w:val="00FB3859"/>
    <w:rsid w:val="00FC20C7"/>
    <w:rsid w:val="00FC5E7A"/>
    <w:rsid w:val="00FD69AE"/>
    <w:rsid w:val="00FE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DF0D"/>
  <w15:chartTrackingRefBased/>
  <w15:docId w15:val="{0819F342-8A2B-4D79-B7F6-92A0DA6A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A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87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55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50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8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55BE"/>
    <w:rPr>
      <w:rFonts w:ascii="Cambria" w:eastAsia="Times New Roman" w:hAnsi="Cambria" w:cs="Times New Roman"/>
      <w:b/>
      <w:bCs/>
      <w:i/>
      <w:iCs/>
      <w:sz w:val="28"/>
      <w:szCs w:val="28"/>
    </w:rPr>
  </w:style>
  <w:style w:type="paragraph" w:styleId="NoSpacing">
    <w:name w:val="No Spacing"/>
    <w:link w:val="NoSpacingChar"/>
    <w:uiPriority w:val="1"/>
    <w:qFormat/>
    <w:rsid w:val="009755BE"/>
    <w:pPr>
      <w:spacing w:after="0" w:line="240" w:lineRule="auto"/>
    </w:pPr>
    <w:rPr>
      <w:rFonts w:ascii="Calibri" w:eastAsia="Calibri" w:hAnsi="Calibri" w:cs="Times New Roman"/>
    </w:rPr>
  </w:style>
  <w:style w:type="character" w:styleId="Hyperlink">
    <w:name w:val="Hyperlink"/>
    <w:uiPriority w:val="99"/>
    <w:unhideWhenUsed/>
    <w:rsid w:val="009755BE"/>
    <w:rPr>
      <w:color w:val="0000FF"/>
      <w:u w:val="single"/>
    </w:rPr>
  </w:style>
  <w:style w:type="paragraph" w:styleId="ListParagraph">
    <w:name w:val="List Paragraph"/>
    <w:basedOn w:val="Normal"/>
    <w:link w:val="ListParagraphChar"/>
    <w:uiPriority w:val="34"/>
    <w:qFormat/>
    <w:rsid w:val="005E7B07"/>
    <w:pPr>
      <w:ind w:left="720"/>
      <w:contextualSpacing/>
    </w:pPr>
  </w:style>
  <w:style w:type="paragraph" w:customStyle="1" w:styleId="Default">
    <w:name w:val="Default"/>
    <w:rsid w:val="005E7B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semiHidden/>
    <w:unhideWhenUsed/>
    <w:rsid w:val="005E7B07"/>
    <w:pPr>
      <w:spacing w:after="120" w:line="240" w:lineRule="auto"/>
      <w:ind w:left="283"/>
    </w:pPr>
    <w:rPr>
      <w:rFonts w:ascii="Times New Roman" w:eastAsia="MS Mincho" w:hAnsi="Times New Roman"/>
      <w:sz w:val="20"/>
      <w:szCs w:val="20"/>
      <w:lang w:eastAsia="en-GB"/>
    </w:rPr>
  </w:style>
  <w:style w:type="character" w:customStyle="1" w:styleId="BodyTextIndentChar">
    <w:name w:val="Body Text Indent Char"/>
    <w:basedOn w:val="DefaultParagraphFont"/>
    <w:link w:val="BodyTextIndent"/>
    <w:semiHidden/>
    <w:rsid w:val="005E7B07"/>
    <w:rPr>
      <w:rFonts w:ascii="Times New Roman" w:eastAsia="MS Mincho" w:hAnsi="Times New Roman" w:cs="Times New Roman"/>
      <w:sz w:val="20"/>
      <w:szCs w:val="20"/>
      <w:lang w:eastAsia="en-GB"/>
    </w:rPr>
  </w:style>
  <w:style w:type="character" w:customStyle="1" w:styleId="NoSpacingChar">
    <w:name w:val="No Spacing Char"/>
    <w:link w:val="NoSpacing"/>
    <w:uiPriority w:val="1"/>
    <w:locked/>
    <w:rsid w:val="005E7B07"/>
    <w:rPr>
      <w:rFonts w:ascii="Calibri" w:eastAsia="Calibri" w:hAnsi="Calibri" w:cs="Times New Roman"/>
    </w:rPr>
  </w:style>
  <w:style w:type="character" w:styleId="Emphasis">
    <w:name w:val="Emphasis"/>
    <w:aliases w:val="ECC HL italics"/>
    <w:uiPriority w:val="1"/>
    <w:qFormat/>
    <w:rsid w:val="008C3B61"/>
    <w:rPr>
      <w:i/>
      <w:iCs/>
    </w:rPr>
  </w:style>
  <w:style w:type="character" w:customStyle="1" w:styleId="ListParagraphChar">
    <w:name w:val="List Paragraph Char"/>
    <w:link w:val="ListParagraph"/>
    <w:uiPriority w:val="34"/>
    <w:locked/>
    <w:rsid w:val="008C3B61"/>
    <w:rPr>
      <w:rFonts w:ascii="Calibri" w:eastAsia="Calibri" w:hAnsi="Calibri" w:cs="Times New Roman"/>
    </w:rPr>
  </w:style>
  <w:style w:type="paragraph" w:customStyle="1" w:styleId="enumlev1">
    <w:name w:val="enumlev1"/>
    <w:basedOn w:val="Normal"/>
    <w:link w:val="enumlev1Char"/>
    <w:qFormat/>
    <w:rsid w:val="000A3DA9"/>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sz w:val="24"/>
      <w:szCs w:val="20"/>
      <w:lang w:val="en-GB"/>
    </w:rPr>
  </w:style>
  <w:style w:type="character" w:customStyle="1" w:styleId="enumlev1Char">
    <w:name w:val="enumlev1 Char"/>
    <w:link w:val="enumlev1"/>
    <w:qFormat/>
    <w:locked/>
    <w:rsid w:val="000A3DA9"/>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uiPriority w:val="9"/>
    <w:semiHidden/>
    <w:rsid w:val="003F3853"/>
    <w:rPr>
      <w:rFonts w:asciiTheme="majorHAnsi" w:eastAsiaTheme="majorEastAsia" w:hAnsiTheme="majorHAnsi" w:cstheme="majorBidi"/>
      <w:i/>
      <w:iCs/>
      <w:color w:val="2E74B5" w:themeColor="accent1" w:themeShade="BF"/>
    </w:rPr>
  </w:style>
  <w:style w:type="character" w:styleId="BookTitle">
    <w:name w:val="Book Title"/>
    <w:basedOn w:val="DefaultParagraphFont"/>
    <w:uiPriority w:val="33"/>
    <w:qFormat/>
    <w:rsid w:val="003F3853"/>
    <w:rPr>
      <w:b/>
      <w:bCs/>
      <w:i/>
      <w:iCs/>
      <w:spacing w:val="5"/>
    </w:rPr>
  </w:style>
  <w:style w:type="character" w:customStyle="1" w:styleId="Heading1Char">
    <w:name w:val="Heading 1 Char"/>
    <w:basedOn w:val="DefaultParagraphFont"/>
    <w:link w:val="Heading1"/>
    <w:rsid w:val="00C87103"/>
    <w:rPr>
      <w:rFonts w:asciiTheme="majorHAnsi" w:eastAsiaTheme="majorEastAsia" w:hAnsiTheme="majorHAnsi" w:cstheme="majorBidi"/>
      <w:color w:val="2E74B5" w:themeColor="accent1" w:themeShade="BF"/>
      <w:sz w:val="32"/>
      <w:szCs w:val="32"/>
    </w:rPr>
  </w:style>
  <w:style w:type="character" w:customStyle="1" w:styleId="Artdef">
    <w:name w:val="Art_def"/>
    <w:basedOn w:val="DefaultParagraphFont"/>
    <w:uiPriority w:val="99"/>
    <w:rsid w:val="008107C8"/>
    <w:rPr>
      <w:rFonts w:ascii="Times New Roman" w:hAnsi="Times New Roman"/>
      <w:b/>
    </w:rPr>
  </w:style>
  <w:style w:type="paragraph" w:customStyle="1" w:styleId="Proposal">
    <w:name w:val="Proposal"/>
    <w:basedOn w:val="Normal"/>
    <w:next w:val="Normal"/>
    <w:rsid w:val="008107C8"/>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b/>
      <w:sz w:val="24"/>
      <w:szCs w:val="20"/>
      <w:lang w:val="en-GB"/>
    </w:rPr>
  </w:style>
  <w:style w:type="paragraph" w:customStyle="1" w:styleId="enumlev2">
    <w:name w:val="enumlev2"/>
    <w:basedOn w:val="enumlev1"/>
    <w:rsid w:val="00B50BB4"/>
    <w:pPr>
      <w:ind w:left="1871" w:hanging="737"/>
    </w:pPr>
  </w:style>
  <w:style w:type="paragraph" w:customStyle="1" w:styleId="headingb">
    <w:name w:val="heading_b"/>
    <w:basedOn w:val="Heading3"/>
    <w:next w:val="Normal"/>
    <w:link w:val="headingbZchn"/>
    <w:uiPriority w:val="99"/>
    <w:rsid w:val="00B50BB4"/>
    <w:pPr>
      <w:tabs>
        <w:tab w:val="left" w:pos="794"/>
        <w:tab w:val="left" w:pos="2127"/>
        <w:tab w:val="left" w:pos="2410"/>
        <w:tab w:val="left" w:pos="2921"/>
        <w:tab w:val="left" w:pos="3261"/>
      </w:tabs>
      <w:spacing w:before="160" w:line="240" w:lineRule="auto"/>
      <w:outlineLvl w:val="9"/>
    </w:pPr>
    <w:rPr>
      <w:rFonts w:ascii="Times New Roman" w:eastAsia="Times New Roman" w:hAnsi="Times New Roman" w:cs="Times New Roman"/>
      <w:b/>
      <w:szCs w:val="20"/>
      <w:lang w:val="en-GB" w:eastAsia="fr-FR"/>
    </w:rPr>
  </w:style>
  <w:style w:type="character" w:customStyle="1" w:styleId="headingbZchn">
    <w:name w:val="heading_b Zchn"/>
    <w:basedOn w:val="Heading3Char"/>
    <w:link w:val="headingb"/>
    <w:uiPriority w:val="99"/>
    <w:rsid w:val="00B50BB4"/>
    <w:rPr>
      <w:rFonts w:ascii="Times New Roman" w:eastAsia="Times New Roman" w:hAnsi="Times New Roman" w:cs="Times New Roman"/>
      <w:b/>
      <w:color w:val="1F4D78" w:themeColor="accent1" w:themeShade="7F"/>
      <w:sz w:val="24"/>
      <w:szCs w:val="20"/>
      <w:lang w:val="en-GB" w:eastAsia="fr-FR"/>
    </w:rPr>
  </w:style>
  <w:style w:type="character" w:customStyle="1" w:styleId="Heading3Char">
    <w:name w:val="Heading 3 Char"/>
    <w:basedOn w:val="DefaultParagraphFont"/>
    <w:link w:val="Heading3"/>
    <w:uiPriority w:val="9"/>
    <w:semiHidden/>
    <w:rsid w:val="00B50BB4"/>
    <w:rPr>
      <w:rFonts w:asciiTheme="majorHAnsi" w:eastAsiaTheme="majorEastAsia" w:hAnsiTheme="majorHAnsi" w:cstheme="majorBidi"/>
      <w:color w:val="1F4D78" w:themeColor="accent1" w:themeShade="7F"/>
      <w:sz w:val="24"/>
      <w:szCs w:val="24"/>
    </w:rPr>
  </w:style>
  <w:style w:type="character" w:customStyle="1" w:styleId="Artref">
    <w:name w:val="Art_ref"/>
    <w:basedOn w:val="DefaultParagraphFont"/>
    <w:rsid w:val="00A83834"/>
  </w:style>
  <w:style w:type="paragraph" w:customStyle="1" w:styleId="Reasons">
    <w:name w:val="Reasons"/>
    <w:basedOn w:val="Normal"/>
    <w:qFormat/>
    <w:rsid w:val="007C50A0"/>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sz w:val="24"/>
      <w:szCs w:val="20"/>
      <w:lang w:val="en-GB"/>
    </w:rPr>
  </w:style>
  <w:style w:type="paragraph" w:customStyle="1" w:styleId="Methodheading2">
    <w:name w:val="Method_heading2"/>
    <w:basedOn w:val="Heading2"/>
    <w:next w:val="Normal"/>
    <w:qFormat/>
    <w:rsid w:val="0022320A"/>
    <w:pPr>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pPr>
    <w:rPr>
      <w:rFonts w:ascii="Times New Roman" w:hAnsi="Times New Roman"/>
      <w:bCs w:val="0"/>
      <w:i w:val="0"/>
      <w:iCs w:val="0"/>
      <w:sz w:val="24"/>
      <w:szCs w:val="20"/>
      <w:lang w:val="en-GB"/>
    </w:rPr>
  </w:style>
  <w:style w:type="paragraph" w:customStyle="1" w:styleId="Tablehead">
    <w:name w:val="Table_head"/>
    <w:basedOn w:val="Normal"/>
    <w:link w:val="TableheadChar"/>
    <w:rsid w:val="00125AE6"/>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paragraph" w:customStyle="1" w:styleId="Call">
    <w:name w:val="Call"/>
    <w:basedOn w:val="Normal"/>
    <w:next w:val="Normal"/>
    <w:link w:val="CallChar"/>
    <w:rsid w:val="00AF7F92"/>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i/>
      <w:sz w:val="24"/>
      <w:szCs w:val="20"/>
      <w:lang w:val="en-GB"/>
    </w:rPr>
  </w:style>
  <w:style w:type="paragraph" w:customStyle="1" w:styleId="TableTextS5">
    <w:name w:val="Table_TextS5"/>
    <w:basedOn w:val="Normal"/>
    <w:rsid w:val="00FA6FDB"/>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textAlignment w:val="baseline"/>
    </w:pPr>
    <w:rPr>
      <w:rFonts w:ascii="Times New Roman" w:eastAsia="Times New Roman" w:hAnsi="Times New Roman"/>
      <w:sz w:val="20"/>
      <w:szCs w:val="20"/>
      <w:lang w:val="en-GB"/>
    </w:rPr>
  </w:style>
  <w:style w:type="table" w:styleId="TableGrid">
    <w:name w:val="Table Grid"/>
    <w:basedOn w:val="TableNormal"/>
    <w:uiPriority w:val="59"/>
    <w:qFormat/>
    <w:rsid w:val="0081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046"/>
    <w:rPr>
      <w:sz w:val="16"/>
      <w:szCs w:val="16"/>
    </w:rPr>
  </w:style>
  <w:style w:type="paragraph" w:styleId="CommentText">
    <w:name w:val="annotation text"/>
    <w:basedOn w:val="Normal"/>
    <w:link w:val="CommentTextChar"/>
    <w:uiPriority w:val="99"/>
    <w:semiHidden/>
    <w:unhideWhenUsed/>
    <w:rsid w:val="00734046"/>
    <w:pPr>
      <w:spacing w:line="240" w:lineRule="auto"/>
    </w:pPr>
    <w:rPr>
      <w:sz w:val="20"/>
      <w:szCs w:val="20"/>
    </w:rPr>
  </w:style>
  <w:style w:type="character" w:customStyle="1" w:styleId="CommentTextChar">
    <w:name w:val="Comment Text Char"/>
    <w:basedOn w:val="DefaultParagraphFont"/>
    <w:link w:val="CommentText"/>
    <w:uiPriority w:val="99"/>
    <w:semiHidden/>
    <w:rsid w:val="007340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4046"/>
    <w:rPr>
      <w:b/>
      <w:bCs/>
    </w:rPr>
  </w:style>
  <w:style w:type="character" w:customStyle="1" w:styleId="CommentSubjectChar">
    <w:name w:val="Comment Subject Char"/>
    <w:basedOn w:val="CommentTextChar"/>
    <w:link w:val="CommentSubject"/>
    <w:uiPriority w:val="99"/>
    <w:semiHidden/>
    <w:rsid w:val="007340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3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46"/>
    <w:rPr>
      <w:rFonts w:ascii="Segoe UI" w:eastAsia="Calibri" w:hAnsi="Segoe UI" w:cs="Segoe UI"/>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qFormat/>
    <w:rsid w:val="009075DE"/>
    <w:pPr>
      <w:spacing w:after="0" w:line="240" w:lineRule="auto"/>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qFormat/>
    <w:rsid w:val="009075DE"/>
    <w:rPr>
      <w:rFonts w:ascii="Calibri" w:eastAsia="Calibri" w:hAnsi="Calibri" w:cs="Times New Roman"/>
      <w:sz w:val="20"/>
      <w:szCs w:val="20"/>
    </w:rPr>
  </w:style>
  <w:style w:type="character" w:styleId="FootnoteReference">
    <w:name w:val="footnote reference"/>
    <w:uiPriority w:val="99"/>
    <w:semiHidden/>
    <w:unhideWhenUsed/>
    <w:rsid w:val="009075DE"/>
    <w:rPr>
      <w:vertAlign w:val="superscript"/>
    </w:rPr>
  </w:style>
  <w:style w:type="paragraph" w:customStyle="1" w:styleId="Tabletext">
    <w:name w:val="Table_text"/>
    <w:basedOn w:val="Normal"/>
    <w:link w:val="TabletextChar"/>
    <w:qFormat/>
    <w:rsid w:val="009075D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sz w:val="20"/>
      <w:szCs w:val="20"/>
      <w:lang w:val="en-GB"/>
    </w:rPr>
  </w:style>
  <w:style w:type="character" w:customStyle="1" w:styleId="TabletextChar">
    <w:name w:val="Table_text Char"/>
    <w:link w:val="Tabletext"/>
    <w:qFormat/>
    <w:locked/>
    <w:rsid w:val="009075DE"/>
    <w:rPr>
      <w:rFonts w:ascii="Times New Roman" w:eastAsia="Times New Roman" w:hAnsi="Times New Roman" w:cs="Times New Roman"/>
      <w:sz w:val="20"/>
      <w:szCs w:val="20"/>
      <w:lang w:val="en-GB"/>
    </w:rPr>
  </w:style>
  <w:style w:type="paragraph" w:customStyle="1" w:styleId="Note">
    <w:name w:val="Note"/>
    <w:basedOn w:val="Normal"/>
    <w:link w:val="NoteChar"/>
    <w:uiPriority w:val="99"/>
    <w:rsid w:val="009075DE"/>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sz w:val="24"/>
      <w:szCs w:val="20"/>
      <w:lang w:val="en-GB"/>
    </w:rPr>
  </w:style>
  <w:style w:type="character" w:customStyle="1" w:styleId="NoteChar">
    <w:name w:val="Note Char"/>
    <w:link w:val="Note"/>
    <w:uiPriority w:val="99"/>
    <w:locked/>
    <w:rsid w:val="009075DE"/>
    <w:rPr>
      <w:rFonts w:ascii="Times New Roman" w:eastAsia="Times New Roman" w:hAnsi="Times New Roman" w:cs="Times New Roman"/>
      <w:sz w:val="24"/>
      <w:szCs w:val="20"/>
      <w:lang w:val="en-GB"/>
    </w:rPr>
  </w:style>
  <w:style w:type="paragraph" w:styleId="Header">
    <w:name w:val="header"/>
    <w:basedOn w:val="Normal"/>
    <w:link w:val="HeaderChar"/>
    <w:rsid w:val="009075DE"/>
    <w:pPr>
      <w:tabs>
        <w:tab w:val="center" w:pos="4153"/>
        <w:tab w:val="right" w:pos="8306"/>
      </w:tabs>
      <w:spacing w:after="0" w:line="240" w:lineRule="auto"/>
    </w:pPr>
    <w:rPr>
      <w:rFonts w:ascii="Times New Roman" w:eastAsia="MS Mincho" w:hAnsi="Times New Roman"/>
      <w:sz w:val="20"/>
      <w:szCs w:val="20"/>
      <w:lang w:eastAsia="en-GB"/>
    </w:rPr>
  </w:style>
  <w:style w:type="character" w:customStyle="1" w:styleId="HeaderChar">
    <w:name w:val="Header Char"/>
    <w:basedOn w:val="DefaultParagraphFont"/>
    <w:link w:val="Header"/>
    <w:rsid w:val="009075DE"/>
    <w:rPr>
      <w:rFonts w:ascii="Times New Roman" w:eastAsia="MS Mincho" w:hAnsi="Times New Roman" w:cs="Times New Roman"/>
      <w:sz w:val="20"/>
      <w:szCs w:val="20"/>
      <w:lang w:eastAsia="en-GB"/>
    </w:rPr>
  </w:style>
  <w:style w:type="paragraph" w:styleId="Footer">
    <w:name w:val="footer"/>
    <w:basedOn w:val="Normal"/>
    <w:link w:val="FooterChar"/>
    <w:uiPriority w:val="99"/>
    <w:unhideWhenUsed/>
    <w:rsid w:val="009075DE"/>
    <w:pPr>
      <w:tabs>
        <w:tab w:val="center" w:pos="4513"/>
        <w:tab w:val="right" w:pos="9026"/>
      </w:tabs>
    </w:pPr>
  </w:style>
  <w:style w:type="character" w:customStyle="1" w:styleId="FooterChar">
    <w:name w:val="Footer Char"/>
    <w:basedOn w:val="DefaultParagraphFont"/>
    <w:link w:val="Footer"/>
    <w:uiPriority w:val="99"/>
    <w:rsid w:val="009075DE"/>
    <w:rPr>
      <w:rFonts w:ascii="Calibri" w:eastAsia="Calibri" w:hAnsi="Calibri" w:cs="Times New Roman"/>
    </w:rPr>
  </w:style>
  <w:style w:type="character" w:styleId="FollowedHyperlink">
    <w:name w:val="FollowedHyperlink"/>
    <w:uiPriority w:val="99"/>
    <w:semiHidden/>
    <w:unhideWhenUsed/>
    <w:rsid w:val="009075DE"/>
    <w:rPr>
      <w:color w:val="954F72"/>
      <w:u w:val="single"/>
    </w:rPr>
  </w:style>
  <w:style w:type="character" w:customStyle="1" w:styleId="CallChar">
    <w:name w:val="Call Char"/>
    <w:link w:val="Call"/>
    <w:locked/>
    <w:rsid w:val="009075DE"/>
    <w:rPr>
      <w:rFonts w:ascii="Times New Roman" w:eastAsia="Times New Roman" w:hAnsi="Times New Roman" w:cs="Times New Roman"/>
      <w:i/>
      <w:sz w:val="24"/>
      <w:szCs w:val="20"/>
      <w:lang w:val="en-GB"/>
    </w:rPr>
  </w:style>
  <w:style w:type="paragraph" w:styleId="NormalWeb">
    <w:name w:val="Normal (Web)"/>
    <w:basedOn w:val="Normal"/>
    <w:uiPriority w:val="99"/>
    <w:unhideWhenUsed/>
    <w:rsid w:val="009075DE"/>
    <w:pPr>
      <w:spacing w:before="100" w:beforeAutospacing="1" w:after="100" w:afterAutospacing="1" w:line="240" w:lineRule="auto"/>
    </w:pPr>
    <w:rPr>
      <w:rFonts w:ascii="Times New Roman" w:eastAsia="Times New Roman" w:hAnsi="Times New Roman"/>
      <w:sz w:val="24"/>
      <w:szCs w:val="24"/>
    </w:rPr>
  </w:style>
  <w:style w:type="character" w:customStyle="1" w:styleId="Tablefreq">
    <w:name w:val="Table_freq"/>
    <w:rsid w:val="009075DE"/>
    <w:rPr>
      <w:b/>
      <w:color w:val="auto"/>
      <w:sz w:val="20"/>
    </w:rPr>
  </w:style>
  <w:style w:type="character" w:customStyle="1" w:styleId="TableheadChar">
    <w:name w:val="Table_head Char"/>
    <w:link w:val="Tablehead"/>
    <w:locked/>
    <w:rsid w:val="009075DE"/>
    <w:rPr>
      <w:rFonts w:ascii="Times New Roman Bold" w:eastAsia="Times New Roman" w:hAnsi="Times New Roman Bold" w:cs="Times New Roman Bold"/>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42236">
      <w:bodyDiv w:val="1"/>
      <w:marLeft w:val="0"/>
      <w:marRight w:val="0"/>
      <w:marTop w:val="0"/>
      <w:marBottom w:val="0"/>
      <w:divBdr>
        <w:top w:val="none" w:sz="0" w:space="0" w:color="auto"/>
        <w:left w:val="none" w:sz="0" w:space="0" w:color="auto"/>
        <w:bottom w:val="none" w:sz="0" w:space="0" w:color="auto"/>
        <w:right w:val="none" w:sz="0" w:space="0" w:color="auto"/>
      </w:divBdr>
      <w:divsChild>
        <w:div w:id="1170948416">
          <w:marLeft w:val="360"/>
          <w:marRight w:val="0"/>
          <w:marTop w:val="200"/>
          <w:marBottom w:val="0"/>
          <w:divBdr>
            <w:top w:val="none" w:sz="0" w:space="0" w:color="auto"/>
            <w:left w:val="none" w:sz="0" w:space="0" w:color="auto"/>
            <w:bottom w:val="none" w:sz="0" w:space="0" w:color="auto"/>
            <w:right w:val="none" w:sz="0" w:space="0" w:color="auto"/>
          </w:divBdr>
        </w:div>
        <w:div w:id="465782437">
          <w:marLeft w:val="360"/>
          <w:marRight w:val="0"/>
          <w:marTop w:val="200"/>
          <w:marBottom w:val="0"/>
          <w:divBdr>
            <w:top w:val="none" w:sz="0" w:space="0" w:color="auto"/>
            <w:left w:val="none" w:sz="0" w:space="0" w:color="auto"/>
            <w:bottom w:val="none" w:sz="0" w:space="0" w:color="auto"/>
            <w:right w:val="none" w:sz="0" w:space="0" w:color="auto"/>
          </w:divBdr>
        </w:div>
        <w:div w:id="1676179325">
          <w:marLeft w:val="360"/>
          <w:marRight w:val="0"/>
          <w:marTop w:val="200"/>
          <w:marBottom w:val="0"/>
          <w:divBdr>
            <w:top w:val="none" w:sz="0" w:space="0" w:color="auto"/>
            <w:left w:val="none" w:sz="0" w:space="0" w:color="auto"/>
            <w:bottom w:val="none" w:sz="0" w:space="0" w:color="auto"/>
            <w:right w:val="none" w:sz="0" w:space="0" w:color="auto"/>
          </w:divBdr>
        </w:div>
        <w:div w:id="1297907388">
          <w:marLeft w:val="360"/>
          <w:marRight w:val="0"/>
          <w:marTop w:val="200"/>
          <w:marBottom w:val="0"/>
          <w:divBdr>
            <w:top w:val="none" w:sz="0" w:space="0" w:color="auto"/>
            <w:left w:val="none" w:sz="0" w:space="0" w:color="auto"/>
            <w:bottom w:val="none" w:sz="0" w:space="0" w:color="auto"/>
            <w:right w:val="none" w:sz="0" w:space="0" w:color="auto"/>
          </w:divBdr>
        </w:div>
        <w:div w:id="1866023008">
          <w:marLeft w:val="360"/>
          <w:marRight w:val="0"/>
          <w:marTop w:val="200"/>
          <w:marBottom w:val="0"/>
          <w:divBdr>
            <w:top w:val="none" w:sz="0" w:space="0" w:color="auto"/>
            <w:left w:val="none" w:sz="0" w:space="0" w:color="auto"/>
            <w:bottom w:val="none" w:sz="0" w:space="0" w:color="auto"/>
            <w:right w:val="none" w:sz="0" w:space="0" w:color="auto"/>
          </w:divBdr>
        </w:div>
      </w:divsChild>
    </w:div>
    <w:div w:id="1798648053">
      <w:bodyDiv w:val="1"/>
      <w:marLeft w:val="0"/>
      <w:marRight w:val="0"/>
      <w:marTop w:val="0"/>
      <w:marBottom w:val="0"/>
      <w:divBdr>
        <w:top w:val="none" w:sz="0" w:space="0" w:color="auto"/>
        <w:left w:val="none" w:sz="0" w:space="0" w:color="auto"/>
        <w:bottom w:val="none" w:sz="0" w:space="0" w:color="auto"/>
        <w:right w:val="none" w:sz="0" w:space="0" w:color="auto"/>
      </w:divBdr>
      <w:divsChild>
        <w:div w:id="1326518969">
          <w:marLeft w:val="360"/>
          <w:marRight w:val="0"/>
          <w:marTop w:val="200"/>
          <w:marBottom w:val="0"/>
          <w:divBdr>
            <w:top w:val="none" w:sz="0" w:space="0" w:color="auto"/>
            <w:left w:val="none" w:sz="0" w:space="0" w:color="auto"/>
            <w:bottom w:val="none" w:sz="0" w:space="0" w:color="auto"/>
            <w:right w:val="none" w:sz="0" w:space="0" w:color="auto"/>
          </w:divBdr>
        </w:div>
        <w:div w:id="287317186">
          <w:marLeft w:val="360"/>
          <w:marRight w:val="0"/>
          <w:marTop w:val="200"/>
          <w:marBottom w:val="0"/>
          <w:divBdr>
            <w:top w:val="none" w:sz="0" w:space="0" w:color="auto"/>
            <w:left w:val="none" w:sz="0" w:space="0" w:color="auto"/>
            <w:bottom w:val="none" w:sz="0" w:space="0" w:color="auto"/>
            <w:right w:val="none" w:sz="0" w:space="0" w:color="auto"/>
          </w:divBdr>
        </w:div>
        <w:div w:id="121121575">
          <w:marLeft w:val="360"/>
          <w:marRight w:val="0"/>
          <w:marTop w:val="200"/>
          <w:marBottom w:val="0"/>
          <w:divBdr>
            <w:top w:val="none" w:sz="0" w:space="0" w:color="auto"/>
            <w:left w:val="none" w:sz="0" w:space="0" w:color="auto"/>
            <w:bottom w:val="none" w:sz="0" w:space="0" w:color="auto"/>
            <w:right w:val="none" w:sz="0" w:space="0" w:color="auto"/>
          </w:divBdr>
        </w:div>
        <w:div w:id="1474520930">
          <w:marLeft w:val="360"/>
          <w:marRight w:val="0"/>
          <w:marTop w:val="200"/>
          <w:marBottom w:val="0"/>
          <w:divBdr>
            <w:top w:val="none" w:sz="0" w:space="0" w:color="auto"/>
            <w:left w:val="none" w:sz="0" w:space="0" w:color="auto"/>
            <w:bottom w:val="none" w:sz="0" w:space="0" w:color="auto"/>
            <w:right w:val="none" w:sz="0" w:space="0" w:color="auto"/>
          </w:divBdr>
        </w:div>
        <w:div w:id="1944997139">
          <w:marLeft w:val="360"/>
          <w:marRight w:val="0"/>
          <w:marTop w:val="200"/>
          <w:marBottom w:val="0"/>
          <w:divBdr>
            <w:top w:val="none" w:sz="0" w:space="0" w:color="auto"/>
            <w:left w:val="none" w:sz="0" w:space="0" w:color="auto"/>
            <w:bottom w:val="none" w:sz="0" w:space="0" w:color="auto"/>
            <w:right w:val="none" w:sz="0" w:space="0" w:color="auto"/>
          </w:divBdr>
        </w:div>
      </w:divsChild>
    </w:div>
    <w:div w:id="2077433286">
      <w:bodyDiv w:val="1"/>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360"/>
          <w:marRight w:val="0"/>
          <w:marTop w:val="200"/>
          <w:marBottom w:val="0"/>
          <w:divBdr>
            <w:top w:val="none" w:sz="0" w:space="0" w:color="auto"/>
            <w:left w:val="none" w:sz="0" w:space="0" w:color="auto"/>
            <w:bottom w:val="none" w:sz="0" w:space="0" w:color="auto"/>
            <w:right w:val="none" w:sz="0" w:space="0" w:color="auto"/>
          </w:divBdr>
        </w:div>
        <w:div w:id="1805079415">
          <w:marLeft w:val="360"/>
          <w:marRight w:val="0"/>
          <w:marTop w:val="200"/>
          <w:marBottom w:val="0"/>
          <w:divBdr>
            <w:top w:val="none" w:sz="0" w:space="0" w:color="auto"/>
            <w:left w:val="none" w:sz="0" w:space="0" w:color="auto"/>
            <w:bottom w:val="none" w:sz="0" w:space="0" w:color="auto"/>
            <w:right w:val="none" w:sz="0" w:space="0" w:color="auto"/>
          </w:divBdr>
        </w:div>
        <w:div w:id="20783022">
          <w:marLeft w:val="360"/>
          <w:marRight w:val="0"/>
          <w:marTop w:val="200"/>
          <w:marBottom w:val="0"/>
          <w:divBdr>
            <w:top w:val="none" w:sz="0" w:space="0" w:color="auto"/>
            <w:left w:val="none" w:sz="0" w:space="0" w:color="auto"/>
            <w:bottom w:val="none" w:sz="0" w:space="0" w:color="auto"/>
            <w:right w:val="none" w:sz="0" w:space="0" w:color="auto"/>
          </w:divBdr>
        </w:div>
        <w:div w:id="16301649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Namugerwa</dc:creator>
  <cp:keywords/>
  <dc:description/>
  <cp:lastModifiedBy>George</cp:lastModifiedBy>
  <cp:revision>7</cp:revision>
  <dcterms:created xsi:type="dcterms:W3CDTF">2021-08-16T15:38:00Z</dcterms:created>
  <dcterms:modified xsi:type="dcterms:W3CDTF">2021-08-16T17:04:00Z</dcterms:modified>
</cp:coreProperties>
</file>